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B50E4" w14:textId="66C36D1A" w:rsidR="0069181C" w:rsidRPr="0069181C" w:rsidRDefault="0069181C" w:rsidP="0069181C">
      <w:pPr>
        <w:jc w:val="center"/>
        <w:rPr>
          <w:rFonts w:ascii="Arial" w:hAnsi="Arial" w:cs="Arial"/>
          <w:b/>
          <w:bCs/>
          <w:sz w:val="28"/>
          <w:szCs w:val="32"/>
        </w:rPr>
      </w:pPr>
      <w:r w:rsidRPr="0069181C">
        <w:rPr>
          <w:rFonts w:ascii="Arial" w:hAnsi="Arial" w:cs="Arial"/>
          <w:b/>
          <w:bCs/>
          <w:sz w:val="28"/>
          <w:szCs w:val="32"/>
        </w:rPr>
        <w:t xml:space="preserve">Beyond Oral Sensitization: Airborne Egg </w:t>
      </w:r>
      <w:r>
        <w:rPr>
          <w:rFonts w:ascii="Arial" w:hAnsi="Arial" w:cs="Arial" w:hint="eastAsia"/>
          <w:b/>
          <w:bCs/>
          <w:sz w:val="28"/>
          <w:szCs w:val="32"/>
        </w:rPr>
        <w:t>Ovalbumin</w:t>
      </w:r>
      <w:r w:rsidRPr="0069181C">
        <w:rPr>
          <w:rFonts w:ascii="Arial" w:hAnsi="Arial" w:cs="Arial"/>
          <w:b/>
          <w:bCs/>
          <w:sz w:val="28"/>
          <w:szCs w:val="32"/>
        </w:rPr>
        <w:t xml:space="preserve"> Exposure Drives Food Allergy via Lung-Gut Immune Crosstalk</w:t>
      </w:r>
    </w:p>
    <w:p w14:paraId="44AD7038" w14:textId="77777777" w:rsidR="0069181C" w:rsidRDefault="0069181C" w:rsidP="0069181C">
      <w:pPr>
        <w:jc w:val="center"/>
        <w:rPr>
          <w:rFonts w:ascii="Arial" w:hAnsi="Arial" w:cs="Arial"/>
          <w:sz w:val="24"/>
          <w:szCs w:val="28"/>
        </w:rPr>
      </w:pPr>
    </w:p>
    <w:p w14:paraId="26E16D2E" w14:textId="30BFAF1B" w:rsidR="0069181C" w:rsidRPr="0069181C" w:rsidRDefault="0069181C" w:rsidP="0069181C">
      <w:pPr>
        <w:jc w:val="center"/>
        <w:rPr>
          <w:rFonts w:ascii="Arial" w:hAnsi="Arial" w:cs="Arial"/>
          <w:sz w:val="24"/>
          <w:szCs w:val="28"/>
        </w:rPr>
      </w:pPr>
      <w:r w:rsidRPr="0069181C">
        <w:rPr>
          <w:rFonts w:ascii="Arial" w:hAnsi="Arial" w:cs="Arial"/>
          <w:sz w:val="24"/>
          <w:szCs w:val="28"/>
        </w:rPr>
        <w:t>Wei Hu</w:t>
      </w:r>
      <w:r w:rsidRPr="0069181C">
        <w:rPr>
          <w:rFonts w:ascii="Arial" w:hAnsi="Arial" w:cs="Arial" w:hint="eastAsia"/>
          <w:sz w:val="24"/>
          <w:szCs w:val="28"/>
          <w:vertAlign w:val="superscript"/>
        </w:rPr>
        <w:t>1,2,3</w:t>
      </w:r>
      <w:r w:rsidRPr="0069181C">
        <w:rPr>
          <w:rFonts w:ascii="Arial" w:hAnsi="Arial" w:cs="Arial"/>
          <w:sz w:val="24"/>
          <w:szCs w:val="28"/>
        </w:rPr>
        <w:t xml:space="preserve">, </w:t>
      </w:r>
      <w:proofErr w:type="spellStart"/>
      <w:r w:rsidRPr="0069181C">
        <w:rPr>
          <w:rFonts w:ascii="Arial" w:hAnsi="Arial" w:cs="Arial" w:hint="eastAsia"/>
          <w:sz w:val="24"/>
          <w:szCs w:val="28"/>
        </w:rPr>
        <w:t>Ziwen</w:t>
      </w:r>
      <w:proofErr w:type="spellEnd"/>
      <w:r w:rsidRPr="0069181C">
        <w:rPr>
          <w:rFonts w:ascii="Arial" w:hAnsi="Arial" w:cs="Arial" w:hint="eastAsia"/>
          <w:sz w:val="24"/>
          <w:szCs w:val="28"/>
        </w:rPr>
        <w:t xml:space="preserve"> Hao</w:t>
      </w:r>
      <w:r w:rsidRPr="0069181C">
        <w:rPr>
          <w:rFonts w:ascii="Arial" w:hAnsi="Arial" w:cs="Arial" w:hint="eastAsia"/>
          <w:sz w:val="24"/>
          <w:szCs w:val="28"/>
          <w:vertAlign w:val="superscript"/>
        </w:rPr>
        <w:t>2,3</w:t>
      </w:r>
      <w:r w:rsidRPr="0069181C">
        <w:rPr>
          <w:rFonts w:ascii="Arial" w:hAnsi="Arial" w:cs="Arial" w:hint="eastAsia"/>
          <w:sz w:val="24"/>
          <w:szCs w:val="28"/>
        </w:rPr>
        <w:t xml:space="preserve">, </w:t>
      </w:r>
      <w:r w:rsidRPr="0069181C">
        <w:rPr>
          <w:rFonts w:ascii="Arial" w:hAnsi="Arial" w:cs="Arial"/>
          <w:sz w:val="24"/>
          <w:szCs w:val="28"/>
        </w:rPr>
        <w:t>Xin Li</w:t>
      </w:r>
      <w:r w:rsidRPr="0069181C">
        <w:rPr>
          <w:rFonts w:ascii="Arial" w:hAnsi="Arial" w:cs="Arial" w:hint="eastAsia"/>
          <w:sz w:val="24"/>
          <w:szCs w:val="28"/>
          <w:vertAlign w:val="superscript"/>
        </w:rPr>
        <w:t>2,3</w:t>
      </w:r>
      <w:r w:rsidRPr="0069181C">
        <w:rPr>
          <w:rFonts w:ascii="Arial" w:hAnsi="Arial" w:cs="Arial" w:hint="eastAsia"/>
          <w:sz w:val="24"/>
          <w:szCs w:val="28"/>
        </w:rPr>
        <w:t>, Fook Tim Chew</w:t>
      </w:r>
      <w:r w:rsidRPr="0069181C">
        <w:rPr>
          <w:rFonts w:ascii="Arial" w:hAnsi="Arial" w:cs="Arial" w:hint="eastAsia"/>
          <w:sz w:val="24"/>
          <w:szCs w:val="28"/>
          <w:vertAlign w:val="superscript"/>
        </w:rPr>
        <w:t>1</w:t>
      </w:r>
      <w:r w:rsidRPr="0069181C">
        <w:rPr>
          <w:rFonts w:ascii="Arial" w:hAnsi="Arial" w:cs="Arial" w:hint="eastAsia"/>
          <w:sz w:val="24"/>
          <w:szCs w:val="28"/>
        </w:rPr>
        <w:t xml:space="preserve">, </w:t>
      </w:r>
      <w:proofErr w:type="spellStart"/>
      <w:r w:rsidRPr="0069181C">
        <w:rPr>
          <w:rFonts w:ascii="Arial" w:hAnsi="Arial" w:cs="Arial"/>
          <w:sz w:val="24"/>
          <w:szCs w:val="28"/>
        </w:rPr>
        <w:t>Hongbing</w:t>
      </w:r>
      <w:proofErr w:type="spellEnd"/>
      <w:r w:rsidRPr="0069181C">
        <w:rPr>
          <w:rFonts w:ascii="Arial" w:hAnsi="Arial" w:cs="Arial"/>
          <w:sz w:val="24"/>
          <w:szCs w:val="28"/>
        </w:rPr>
        <w:t xml:space="preserve"> Chen</w:t>
      </w:r>
      <w:r w:rsidRPr="0069181C">
        <w:rPr>
          <w:rFonts w:ascii="Arial" w:hAnsi="Arial" w:cs="Arial" w:hint="eastAsia"/>
          <w:sz w:val="24"/>
          <w:szCs w:val="28"/>
          <w:vertAlign w:val="superscript"/>
        </w:rPr>
        <w:t>2</w:t>
      </w:r>
      <w:r w:rsidRPr="0069181C">
        <w:rPr>
          <w:rFonts w:ascii="Arial" w:hAnsi="Arial" w:cs="Arial" w:hint="eastAsia"/>
          <w:sz w:val="24"/>
          <w:szCs w:val="28"/>
          <w:vertAlign w:val="superscript"/>
        </w:rPr>
        <w:t>,</w:t>
      </w:r>
      <w:r w:rsidRPr="0069181C">
        <w:rPr>
          <w:rFonts w:ascii="Arial" w:hAnsi="Arial" w:cs="Arial" w:hint="eastAsia"/>
          <w:sz w:val="24"/>
          <w:szCs w:val="28"/>
          <w:vertAlign w:val="superscript"/>
        </w:rPr>
        <w:t>4</w:t>
      </w:r>
    </w:p>
    <w:p w14:paraId="5659E24E" w14:textId="77777777" w:rsidR="0069181C" w:rsidRDefault="0069181C" w:rsidP="0069181C">
      <w:pPr>
        <w:jc w:val="center"/>
        <w:rPr>
          <w:rFonts w:ascii="Arial" w:hAnsi="Arial" w:cs="Arial"/>
        </w:rPr>
      </w:pPr>
    </w:p>
    <w:p w14:paraId="20034C7A" w14:textId="77777777" w:rsidR="0069181C" w:rsidRPr="0069181C" w:rsidRDefault="0069181C" w:rsidP="0069181C">
      <w:pPr>
        <w:jc w:val="center"/>
        <w:rPr>
          <w:rFonts w:ascii="Arial" w:hAnsi="Arial" w:cs="Arial" w:hint="eastAsia"/>
        </w:rPr>
      </w:pPr>
    </w:p>
    <w:p w14:paraId="3D578901" w14:textId="3D5544B9" w:rsidR="0069181C" w:rsidRPr="0069181C" w:rsidRDefault="0069181C" w:rsidP="0069181C">
      <w:pPr>
        <w:jc w:val="center"/>
        <w:rPr>
          <w:rFonts w:ascii="Arial" w:hAnsi="Arial" w:cs="Arial" w:hint="eastAsia"/>
          <w:sz w:val="24"/>
          <w:szCs w:val="28"/>
        </w:rPr>
      </w:pPr>
      <w:r w:rsidRPr="0069181C">
        <w:rPr>
          <w:rFonts w:ascii="Arial" w:hAnsi="Arial" w:cs="Arial" w:hint="eastAsia"/>
          <w:sz w:val="24"/>
          <w:szCs w:val="28"/>
        </w:rPr>
        <w:t xml:space="preserve">1. </w:t>
      </w:r>
      <w:r w:rsidRPr="0069181C">
        <w:rPr>
          <w:rFonts w:ascii="Arial" w:hAnsi="Arial" w:cs="Arial"/>
          <w:sz w:val="24"/>
          <w:szCs w:val="28"/>
        </w:rPr>
        <w:t>Department of Biological Sciences, Faculty of</w:t>
      </w:r>
      <w:r w:rsidRPr="0069181C">
        <w:rPr>
          <w:rFonts w:ascii="Arial" w:hAnsi="Arial" w:cs="Arial" w:hint="eastAsia"/>
          <w:sz w:val="24"/>
          <w:szCs w:val="28"/>
        </w:rPr>
        <w:t xml:space="preserve"> </w:t>
      </w:r>
      <w:r w:rsidRPr="0069181C">
        <w:rPr>
          <w:rFonts w:ascii="Arial" w:hAnsi="Arial" w:cs="Arial"/>
          <w:sz w:val="24"/>
          <w:szCs w:val="28"/>
        </w:rPr>
        <w:t>Science, National University of Singapore,</w:t>
      </w:r>
      <w:r w:rsidRPr="0069181C">
        <w:rPr>
          <w:rFonts w:ascii="Arial" w:hAnsi="Arial" w:cs="Arial" w:hint="eastAsia"/>
          <w:sz w:val="24"/>
          <w:szCs w:val="28"/>
        </w:rPr>
        <w:t xml:space="preserve"> </w:t>
      </w:r>
      <w:r w:rsidRPr="0069181C">
        <w:rPr>
          <w:rFonts w:ascii="Arial" w:hAnsi="Arial" w:cs="Arial"/>
          <w:sz w:val="24"/>
          <w:szCs w:val="28"/>
        </w:rPr>
        <w:t>Singapore, Singapore</w:t>
      </w:r>
    </w:p>
    <w:p w14:paraId="00ED729A" w14:textId="7774225F" w:rsidR="0069181C" w:rsidRPr="0069181C" w:rsidRDefault="0069181C" w:rsidP="0069181C">
      <w:pPr>
        <w:jc w:val="center"/>
        <w:rPr>
          <w:rFonts w:ascii="Arial" w:hAnsi="Arial" w:cs="Arial" w:hint="eastAsia"/>
          <w:sz w:val="24"/>
          <w:szCs w:val="28"/>
        </w:rPr>
      </w:pPr>
      <w:r w:rsidRPr="0069181C">
        <w:rPr>
          <w:rFonts w:ascii="Arial" w:hAnsi="Arial" w:cs="Arial" w:hint="eastAsia"/>
          <w:sz w:val="24"/>
          <w:szCs w:val="28"/>
        </w:rPr>
        <w:t>2</w:t>
      </w:r>
      <w:r w:rsidRPr="0069181C">
        <w:rPr>
          <w:rFonts w:ascii="Arial" w:hAnsi="Arial" w:cs="Arial" w:hint="eastAsia"/>
          <w:sz w:val="24"/>
          <w:szCs w:val="28"/>
        </w:rPr>
        <w:t>. State Key Laboratory of Food Science and Resource, Nanchang University, Nanchang 330047, China</w:t>
      </w:r>
    </w:p>
    <w:p w14:paraId="305226B5" w14:textId="6054209D" w:rsidR="0069181C" w:rsidRPr="0069181C" w:rsidRDefault="0069181C" w:rsidP="0069181C">
      <w:pPr>
        <w:jc w:val="center"/>
        <w:rPr>
          <w:rFonts w:ascii="Arial" w:hAnsi="Arial" w:cs="Arial" w:hint="eastAsia"/>
          <w:sz w:val="24"/>
          <w:szCs w:val="28"/>
        </w:rPr>
      </w:pPr>
      <w:r w:rsidRPr="0069181C">
        <w:rPr>
          <w:rFonts w:ascii="Arial" w:hAnsi="Arial" w:cs="Arial" w:hint="eastAsia"/>
          <w:sz w:val="24"/>
          <w:szCs w:val="28"/>
        </w:rPr>
        <w:t>3</w:t>
      </w:r>
      <w:r w:rsidRPr="0069181C">
        <w:rPr>
          <w:rFonts w:ascii="Arial" w:hAnsi="Arial" w:cs="Arial" w:hint="eastAsia"/>
          <w:sz w:val="24"/>
          <w:szCs w:val="28"/>
        </w:rPr>
        <w:t>. College of Food Science and Technology, Nanchang University, Nanchang 330031, China</w:t>
      </w:r>
    </w:p>
    <w:p w14:paraId="5762911E" w14:textId="60555153" w:rsidR="0069181C" w:rsidRDefault="0069181C" w:rsidP="0069181C">
      <w:pPr>
        <w:jc w:val="center"/>
        <w:rPr>
          <w:rFonts w:ascii="Arial" w:hAnsi="Arial" w:cs="Arial"/>
          <w:sz w:val="24"/>
          <w:szCs w:val="28"/>
        </w:rPr>
      </w:pPr>
      <w:r w:rsidRPr="0069181C">
        <w:rPr>
          <w:rFonts w:ascii="Arial" w:hAnsi="Arial" w:cs="Arial"/>
          <w:sz w:val="24"/>
          <w:szCs w:val="28"/>
        </w:rPr>
        <w:t>4. Sino-German Joint Research Institute, Nanchang University, Nanchang 330047, China.</w:t>
      </w:r>
    </w:p>
    <w:p w14:paraId="124D0B85" w14:textId="77777777" w:rsidR="0069181C" w:rsidRPr="0069181C" w:rsidRDefault="0069181C" w:rsidP="0069181C">
      <w:pPr>
        <w:jc w:val="center"/>
        <w:rPr>
          <w:rFonts w:ascii="Arial" w:hAnsi="Arial" w:cs="Arial"/>
          <w:sz w:val="24"/>
          <w:szCs w:val="28"/>
        </w:rPr>
      </w:pPr>
    </w:p>
    <w:p w14:paraId="66F1490A" w14:textId="6CAE585D" w:rsidR="0069181C" w:rsidRPr="0069181C" w:rsidRDefault="0069181C" w:rsidP="0069181C">
      <w:pPr>
        <w:spacing w:line="360" w:lineRule="auto"/>
        <w:ind w:firstLineChars="200" w:firstLine="480"/>
        <w:rPr>
          <w:rFonts w:ascii="Arial" w:hAnsi="Arial" w:cs="Arial"/>
          <w:sz w:val="24"/>
          <w:szCs w:val="28"/>
        </w:rPr>
      </w:pPr>
      <w:r w:rsidRPr="0069181C">
        <w:rPr>
          <w:rFonts w:ascii="Arial" w:hAnsi="Arial" w:cs="Arial"/>
          <w:sz w:val="24"/>
          <w:szCs w:val="28"/>
        </w:rPr>
        <w:t>Food allergy is traditionally considered a consequence of oral sensitization. However, increasing evidence suggests that non-oral exposure routes may contribute to allergic sensitization. Whether inhalation of food allergens can trigger intestinal allergic responses upon subsequent ingestion remains poorly understood.</w:t>
      </w:r>
      <w:r>
        <w:rPr>
          <w:rFonts w:ascii="Arial" w:hAnsi="Arial" w:cs="Arial" w:hint="eastAsia"/>
          <w:sz w:val="24"/>
          <w:szCs w:val="28"/>
        </w:rPr>
        <w:t xml:space="preserve"> </w:t>
      </w:r>
      <w:r w:rsidRPr="0069181C">
        <w:rPr>
          <w:rFonts w:ascii="Arial" w:hAnsi="Arial" w:cs="Arial"/>
          <w:sz w:val="24"/>
          <w:szCs w:val="28"/>
        </w:rPr>
        <w:t>In this study, we established a murine model of food allergy induced by airway sensitization with ovalbumin (OVA), followed by oral OVA challenge. Mice exposed to airway OVA developed dose- and duration-dependent allergic manifestations, including hypothermia, diarrhea, elevated OVA-specific IgE and IgG1 levels, and enhanced production of Th2 cytokines. Histological analysis revealed marked inflammatory responses in both the lungs and intestines, characterized by pulmonary inflammation, villus atrophy, crypt hyperplasia, and increased mast cell infiltration. Flow cytometric analyses further demonstrated coordinated Th2/Th17 polarization accompanied by reduced regulatory T cell frequencies in pulmonary and mesenteric lymphoid tissues. Moreover, intestinal accumulation of mast cells, eosinophils, and basophils was observed, indicating activation of effector pathways associated with food allergy.</w:t>
      </w:r>
      <w:r>
        <w:rPr>
          <w:rFonts w:ascii="Arial" w:hAnsi="Arial" w:cs="Arial" w:hint="eastAsia"/>
          <w:sz w:val="24"/>
          <w:szCs w:val="28"/>
        </w:rPr>
        <w:t xml:space="preserve"> </w:t>
      </w:r>
      <w:r w:rsidRPr="0069181C">
        <w:rPr>
          <w:rFonts w:ascii="Arial" w:hAnsi="Arial" w:cs="Arial"/>
          <w:sz w:val="24"/>
          <w:szCs w:val="28"/>
        </w:rPr>
        <w:t xml:space="preserve">Gut microbiota analysis revealed reduced microbial diversity and depletion of beneficial genera, particularly </w:t>
      </w:r>
      <w:r w:rsidRPr="0069181C">
        <w:rPr>
          <w:rFonts w:ascii="Arial" w:hAnsi="Arial" w:cs="Arial"/>
          <w:i/>
          <w:iCs/>
          <w:sz w:val="24"/>
          <w:szCs w:val="28"/>
        </w:rPr>
        <w:t>Lactobacillus</w:t>
      </w:r>
      <w:r w:rsidRPr="0069181C">
        <w:rPr>
          <w:rFonts w:ascii="Arial" w:hAnsi="Arial" w:cs="Arial"/>
          <w:sz w:val="24"/>
          <w:szCs w:val="28"/>
        </w:rPr>
        <w:t xml:space="preserve">, suggesting that </w:t>
      </w:r>
      <w:r w:rsidRPr="0069181C">
        <w:rPr>
          <w:rFonts w:ascii="Arial" w:hAnsi="Arial" w:cs="Arial"/>
          <w:sz w:val="24"/>
          <w:szCs w:val="28"/>
        </w:rPr>
        <w:lastRenderedPageBreak/>
        <w:t>airway sensitization is associated with intestinal dysbiosis. Mechanistically, jejunal expression of the gut-homing chemokine CCL25 was markedly increased, while pulmonary Th2 and Th17 cells exhibited enhanced expression of its receptor CCR9. These findings suggest that CCL25/CCR9-mediated trafficking of activated T cells may contribute to lung–gut immune communication during airway allergen sensitization.</w:t>
      </w:r>
      <w:r>
        <w:rPr>
          <w:rFonts w:ascii="Arial" w:hAnsi="Arial" w:cs="Arial" w:hint="eastAsia"/>
          <w:sz w:val="24"/>
          <w:szCs w:val="28"/>
        </w:rPr>
        <w:t xml:space="preserve"> </w:t>
      </w:r>
      <w:r w:rsidRPr="0069181C">
        <w:rPr>
          <w:rFonts w:ascii="Arial" w:hAnsi="Arial" w:cs="Arial"/>
          <w:sz w:val="24"/>
          <w:szCs w:val="28"/>
        </w:rPr>
        <w:t>Collectively, our findings identify airway exposure as a previously underappreciated route of food allergen sensitization capable of promoting intestinal food allergy. This work provides new insights into the pathogenesis of food allergy and highlights the importance of considering inhalation exposure in food safety risk assessment.</w:t>
      </w:r>
    </w:p>
    <w:p w14:paraId="79ED2D90" w14:textId="77777777" w:rsidR="0069181C" w:rsidRPr="0069181C" w:rsidRDefault="0069181C" w:rsidP="0069181C">
      <w:pPr>
        <w:rPr>
          <w:rFonts w:ascii="Arial" w:hAnsi="Arial" w:cs="Arial"/>
        </w:rPr>
      </w:pPr>
    </w:p>
    <w:p w14:paraId="518BE78A" w14:textId="3A368EBD" w:rsidR="0069181C" w:rsidRPr="0069181C" w:rsidRDefault="0069181C" w:rsidP="0069181C">
      <w:pPr>
        <w:spacing w:line="360" w:lineRule="auto"/>
        <w:rPr>
          <w:rFonts w:ascii="Arial" w:hAnsi="Arial" w:cs="Arial"/>
          <w:sz w:val="24"/>
          <w:szCs w:val="28"/>
        </w:rPr>
      </w:pPr>
      <w:r w:rsidRPr="0069181C">
        <w:rPr>
          <w:rFonts w:ascii="Arial" w:hAnsi="Arial" w:cs="Arial"/>
          <w:b/>
          <w:bCs/>
          <w:sz w:val="24"/>
          <w:szCs w:val="28"/>
        </w:rPr>
        <w:t>Keywords:</w:t>
      </w:r>
      <w:r w:rsidRPr="0069181C">
        <w:rPr>
          <w:rFonts w:ascii="Arial" w:hAnsi="Arial" w:cs="Arial"/>
          <w:sz w:val="24"/>
          <w:szCs w:val="28"/>
        </w:rPr>
        <w:t xml:space="preserve"> Food allergy; Airway sensitization; Lung</w:t>
      </w:r>
      <w:r>
        <w:rPr>
          <w:rFonts w:ascii="Arial" w:hAnsi="Arial" w:cs="Arial" w:hint="eastAsia"/>
          <w:sz w:val="24"/>
          <w:szCs w:val="28"/>
        </w:rPr>
        <w:t>-</w:t>
      </w:r>
      <w:r w:rsidRPr="0069181C">
        <w:rPr>
          <w:rFonts w:ascii="Arial" w:hAnsi="Arial" w:cs="Arial"/>
          <w:sz w:val="24"/>
          <w:szCs w:val="28"/>
        </w:rPr>
        <w:t>gut axis; CCL25/CCR9; Ovalbumin; Food safety</w:t>
      </w:r>
    </w:p>
    <w:p w14:paraId="05E1EB83" w14:textId="77777777" w:rsidR="0069181C" w:rsidRPr="0069181C" w:rsidRDefault="0069181C">
      <w:pPr>
        <w:rPr>
          <w:rFonts w:ascii="Arial" w:hAnsi="Arial" w:cs="Arial"/>
        </w:rPr>
      </w:pPr>
    </w:p>
    <w:sectPr w:rsidR="0069181C" w:rsidRPr="0069181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81C"/>
    <w:rsid w:val="002D5B0D"/>
    <w:rsid w:val="002F600B"/>
    <w:rsid w:val="0069181C"/>
    <w:rsid w:val="00B36E0D"/>
    <w:rsid w:val="00C34DE5"/>
    <w:rsid w:val="00F77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650DD"/>
  <w15:chartTrackingRefBased/>
  <w15:docId w15:val="{F9D42BDA-6712-4F8B-ACBB-FD76CD190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9181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9181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9181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9181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9181C"/>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9181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9181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9181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9181C"/>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9181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9181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9181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9181C"/>
    <w:rPr>
      <w:rFonts w:cstheme="majorBidi"/>
      <w:color w:val="0F4761" w:themeColor="accent1" w:themeShade="BF"/>
      <w:sz w:val="28"/>
      <w:szCs w:val="28"/>
    </w:rPr>
  </w:style>
  <w:style w:type="character" w:customStyle="1" w:styleId="50">
    <w:name w:val="标题 5 字符"/>
    <w:basedOn w:val="a0"/>
    <w:link w:val="5"/>
    <w:uiPriority w:val="9"/>
    <w:semiHidden/>
    <w:rsid w:val="0069181C"/>
    <w:rPr>
      <w:rFonts w:cstheme="majorBidi"/>
      <w:color w:val="0F4761" w:themeColor="accent1" w:themeShade="BF"/>
      <w:sz w:val="24"/>
      <w:szCs w:val="24"/>
    </w:rPr>
  </w:style>
  <w:style w:type="character" w:customStyle="1" w:styleId="60">
    <w:name w:val="标题 6 字符"/>
    <w:basedOn w:val="a0"/>
    <w:link w:val="6"/>
    <w:uiPriority w:val="9"/>
    <w:semiHidden/>
    <w:rsid w:val="0069181C"/>
    <w:rPr>
      <w:rFonts w:cstheme="majorBidi"/>
      <w:b/>
      <w:bCs/>
      <w:color w:val="0F4761" w:themeColor="accent1" w:themeShade="BF"/>
    </w:rPr>
  </w:style>
  <w:style w:type="character" w:customStyle="1" w:styleId="70">
    <w:name w:val="标题 7 字符"/>
    <w:basedOn w:val="a0"/>
    <w:link w:val="7"/>
    <w:uiPriority w:val="9"/>
    <w:semiHidden/>
    <w:rsid w:val="0069181C"/>
    <w:rPr>
      <w:rFonts w:cstheme="majorBidi"/>
      <w:b/>
      <w:bCs/>
      <w:color w:val="595959" w:themeColor="text1" w:themeTint="A6"/>
    </w:rPr>
  </w:style>
  <w:style w:type="character" w:customStyle="1" w:styleId="80">
    <w:name w:val="标题 8 字符"/>
    <w:basedOn w:val="a0"/>
    <w:link w:val="8"/>
    <w:uiPriority w:val="9"/>
    <w:semiHidden/>
    <w:rsid w:val="0069181C"/>
    <w:rPr>
      <w:rFonts w:cstheme="majorBidi"/>
      <w:color w:val="595959" w:themeColor="text1" w:themeTint="A6"/>
    </w:rPr>
  </w:style>
  <w:style w:type="character" w:customStyle="1" w:styleId="90">
    <w:name w:val="标题 9 字符"/>
    <w:basedOn w:val="a0"/>
    <w:link w:val="9"/>
    <w:uiPriority w:val="9"/>
    <w:semiHidden/>
    <w:rsid w:val="0069181C"/>
    <w:rPr>
      <w:rFonts w:eastAsiaTheme="majorEastAsia" w:cstheme="majorBidi"/>
      <w:color w:val="595959" w:themeColor="text1" w:themeTint="A6"/>
    </w:rPr>
  </w:style>
  <w:style w:type="paragraph" w:styleId="a3">
    <w:name w:val="Title"/>
    <w:basedOn w:val="a"/>
    <w:next w:val="a"/>
    <w:link w:val="a4"/>
    <w:uiPriority w:val="10"/>
    <w:qFormat/>
    <w:rsid w:val="006918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918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918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918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9181C"/>
    <w:pPr>
      <w:spacing w:before="160" w:after="160"/>
      <w:jc w:val="center"/>
    </w:pPr>
    <w:rPr>
      <w:i/>
      <w:iCs/>
      <w:color w:val="404040" w:themeColor="text1" w:themeTint="BF"/>
    </w:rPr>
  </w:style>
  <w:style w:type="character" w:customStyle="1" w:styleId="a8">
    <w:name w:val="引用 字符"/>
    <w:basedOn w:val="a0"/>
    <w:link w:val="a7"/>
    <w:uiPriority w:val="29"/>
    <w:rsid w:val="0069181C"/>
    <w:rPr>
      <w:i/>
      <w:iCs/>
      <w:color w:val="404040" w:themeColor="text1" w:themeTint="BF"/>
    </w:rPr>
  </w:style>
  <w:style w:type="paragraph" w:styleId="a9">
    <w:name w:val="List Paragraph"/>
    <w:basedOn w:val="a"/>
    <w:uiPriority w:val="34"/>
    <w:qFormat/>
    <w:rsid w:val="0069181C"/>
    <w:pPr>
      <w:ind w:left="720"/>
      <w:contextualSpacing/>
    </w:pPr>
  </w:style>
  <w:style w:type="character" w:styleId="aa">
    <w:name w:val="Intense Emphasis"/>
    <w:basedOn w:val="a0"/>
    <w:uiPriority w:val="21"/>
    <w:qFormat/>
    <w:rsid w:val="0069181C"/>
    <w:rPr>
      <w:i/>
      <w:iCs/>
      <w:color w:val="0F4761" w:themeColor="accent1" w:themeShade="BF"/>
    </w:rPr>
  </w:style>
  <w:style w:type="paragraph" w:styleId="ab">
    <w:name w:val="Intense Quote"/>
    <w:basedOn w:val="a"/>
    <w:next w:val="a"/>
    <w:link w:val="ac"/>
    <w:uiPriority w:val="30"/>
    <w:qFormat/>
    <w:rsid w:val="006918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9181C"/>
    <w:rPr>
      <w:i/>
      <w:iCs/>
      <w:color w:val="0F4761" w:themeColor="accent1" w:themeShade="BF"/>
    </w:rPr>
  </w:style>
  <w:style w:type="character" w:styleId="ad">
    <w:name w:val="Intense Reference"/>
    <w:basedOn w:val="a0"/>
    <w:uiPriority w:val="32"/>
    <w:qFormat/>
    <w:rsid w:val="006918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398</Words>
  <Characters>2381</Characters>
  <Application>Microsoft Office Word</Application>
  <DocSecurity>0</DocSecurity>
  <Lines>39</Lines>
  <Paragraphs>10</Paragraphs>
  <ScaleCrop>false</ScaleCrop>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 hu</dc:creator>
  <cp:keywords/>
  <dc:description/>
  <cp:lastModifiedBy>wei hu</cp:lastModifiedBy>
  <cp:revision>1</cp:revision>
  <dcterms:created xsi:type="dcterms:W3CDTF">2026-06-11T09:13:00Z</dcterms:created>
  <dcterms:modified xsi:type="dcterms:W3CDTF">2026-06-11T09:26:00Z</dcterms:modified>
</cp:coreProperties>
</file>