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4475D" w14:textId="649063A6" w:rsidR="00387BC9" w:rsidRPr="00297610" w:rsidRDefault="00D45BF5" w:rsidP="00387BC9">
      <w:pPr>
        <w:rPr>
          <w:b/>
          <w:bCs/>
        </w:rPr>
      </w:pPr>
      <w:r w:rsidRPr="00297610">
        <w:rPr>
          <w:b/>
          <w:bCs/>
          <w:noProof/>
        </w:rPr>
        <w:drawing>
          <wp:anchor distT="0" distB="0" distL="114300" distR="114300" simplePos="0" relativeHeight="251658240" behindDoc="0" locked="0" layoutInCell="1" allowOverlap="1" wp14:anchorId="0F151758" wp14:editId="7F274916">
            <wp:simplePos x="0" y="0"/>
            <wp:positionH relativeFrom="column">
              <wp:posOffset>3977640</wp:posOffset>
            </wp:positionH>
            <wp:positionV relativeFrom="paragraph">
              <wp:posOffset>312420</wp:posOffset>
            </wp:positionV>
            <wp:extent cx="1920240" cy="1920240"/>
            <wp:effectExtent l="0" t="0" r="3810" b="3810"/>
            <wp:wrapSquare wrapText="bothSides"/>
            <wp:docPr id="301968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68258" name="Picture 301968258"/>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20240" cy="1920240"/>
                    </a:xfrm>
                    <a:prstGeom prst="rect">
                      <a:avLst/>
                    </a:prstGeom>
                  </pic:spPr>
                </pic:pic>
              </a:graphicData>
            </a:graphic>
          </wp:anchor>
        </w:drawing>
      </w:r>
      <w:r w:rsidR="00297610" w:rsidRPr="00297610">
        <w:rPr>
          <w:b/>
          <w:bCs/>
          <w:noProof/>
        </w:rPr>
        <w:t>Gelation of Oils Using Polymers to Control Lipid Bioavailability and Lipophilic Bioactive Delivery</w:t>
      </w:r>
    </w:p>
    <w:p w14:paraId="765E4DC4" w14:textId="7AB3602B" w:rsidR="00387BC9" w:rsidRPr="00387BC9" w:rsidRDefault="00387BC9" w:rsidP="00387BC9">
      <w:pPr>
        <w:rPr>
          <w:i/>
          <w:iCs/>
        </w:rPr>
      </w:pPr>
      <w:r w:rsidRPr="00387BC9">
        <w:br/>
      </w:r>
      <w:r>
        <w:rPr>
          <w:i/>
          <w:iCs/>
        </w:rPr>
        <w:t xml:space="preserve">Dr. </w:t>
      </w:r>
      <w:r w:rsidRPr="00387BC9">
        <w:rPr>
          <w:i/>
          <w:iCs/>
        </w:rPr>
        <w:t>Alejandro G. Marangoni</w:t>
      </w:r>
      <w:r>
        <w:t xml:space="preserve">, </w:t>
      </w:r>
      <w:r w:rsidRPr="00387BC9">
        <w:rPr>
          <w:i/>
          <w:iCs/>
        </w:rPr>
        <w:t xml:space="preserve">O.C., </w:t>
      </w:r>
      <w:proofErr w:type="spellStart"/>
      <w:r w:rsidRPr="00387BC9">
        <w:rPr>
          <w:i/>
          <w:iCs/>
        </w:rPr>
        <w:t>O.Ont</w:t>
      </w:r>
      <w:proofErr w:type="spellEnd"/>
      <w:r w:rsidRPr="00387BC9">
        <w:rPr>
          <w:i/>
          <w:iCs/>
        </w:rPr>
        <w:t>., F.R.S.C.</w:t>
      </w:r>
    </w:p>
    <w:p w14:paraId="17A51034" w14:textId="4B2727A7" w:rsidR="00387BC9" w:rsidRDefault="00387BC9" w:rsidP="00387BC9">
      <w:pPr>
        <w:spacing w:after="0"/>
      </w:pPr>
      <w:r w:rsidRPr="00387BC9">
        <w:br/>
        <w:t>Department of Food Science</w:t>
      </w:r>
    </w:p>
    <w:p w14:paraId="59D5357D" w14:textId="12B314D6" w:rsidR="00387BC9" w:rsidRDefault="00387BC9" w:rsidP="00387BC9">
      <w:pPr>
        <w:spacing w:after="0" w:line="240" w:lineRule="auto"/>
      </w:pPr>
      <w:r w:rsidRPr="00387BC9">
        <w:t>University of Guelph</w:t>
      </w:r>
    </w:p>
    <w:p w14:paraId="40C47D13" w14:textId="3A1EFFC9" w:rsidR="00387BC9" w:rsidRDefault="00387BC9" w:rsidP="00387BC9">
      <w:pPr>
        <w:spacing w:after="0" w:line="240" w:lineRule="auto"/>
      </w:pPr>
      <w:r>
        <w:t>Guelph, ON N1G 2W1</w:t>
      </w:r>
    </w:p>
    <w:p w14:paraId="1E6241CC" w14:textId="77777777" w:rsidR="00D45BF5" w:rsidRDefault="00387BC9" w:rsidP="00D45BF5">
      <w:pPr>
        <w:spacing w:after="0" w:line="240" w:lineRule="auto"/>
      </w:pPr>
      <w:r>
        <w:t>Canada</w:t>
      </w:r>
    </w:p>
    <w:p w14:paraId="478B360A" w14:textId="1679C7B9" w:rsidR="00D45BF5" w:rsidRDefault="00D45BF5" w:rsidP="00D45BF5">
      <w:pPr>
        <w:spacing w:after="0" w:line="240" w:lineRule="auto"/>
        <w:jc w:val="right"/>
      </w:pPr>
    </w:p>
    <w:p w14:paraId="4D9FAFAA" w14:textId="77777777" w:rsidR="00D45BF5" w:rsidRDefault="00D45BF5" w:rsidP="00387BC9"/>
    <w:p w14:paraId="0DA8C757" w14:textId="77777777" w:rsidR="00297610" w:rsidRPr="00297610" w:rsidRDefault="00297610" w:rsidP="00297610">
      <w:r w:rsidRPr="00297610">
        <w:t xml:space="preserve">The structuring of edible oils into soft solid materials without relying on high concentrations of saturated or trans fats has emerged as an important strategy for developing healthier lipid-based foods and nutraceutical delivery systems. Among the different approaches to oil structuring, </w:t>
      </w:r>
      <w:proofErr w:type="spellStart"/>
      <w:r w:rsidRPr="00297610">
        <w:t>oleogelation</w:t>
      </w:r>
      <w:proofErr w:type="spellEnd"/>
      <w:r w:rsidRPr="00297610">
        <w:t xml:space="preserve"> using polymers is particularly promising because it produces stable, tunable networks capable of controlling mechanical properties, lipid digestion, and molecular release. This presentation will review the fundamentals of </w:t>
      </w:r>
      <w:proofErr w:type="spellStart"/>
      <w:r w:rsidRPr="00297610">
        <w:t>oleogelation</w:t>
      </w:r>
      <w:proofErr w:type="spellEnd"/>
      <w:r w:rsidRPr="00297610">
        <w:t xml:space="preserve"> and focus on our extensive work with </w:t>
      </w:r>
      <w:proofErr w:type="spellStart"/>
      <w:r w:rsidRPr="00297610">
        <w:t>ethylcellulose</w:t>
      </w:r>
      <w:proofErr w:type="spellEnd"/>
      <w:r w:rsidRPr="00297610">
        <w:t xml:space="preserve"> (EC), the best-established food-grade polymer capable of directly structuring edible oils.</w:t>
      </w:r>
    </w:p>
    <w:p w14:paraId="1EF3FE0B" w14:textId="77777777" w:rsidR="00297610" w:rsidRPr="00297610" w:rsidRDefault="00297610" w:rsidP="00297610">
      <w:r w:rsidRPr="00297610">
        <w:t xml:space="preserve">The physical chemistry of EC </w:t>
      </w:r>
      <w:proofErr w:type="spellStart"/>
      <w:r w:rsidRPr="00297610">
        <w:t>oleogelation</w:t>
      </w:r>
      <w:proofErr w:type="spellEnd"/>
      <w:r w:rsidRPr="00297610">
        <w:t xml:space="preserve">, including thermal dissolution, polymer–polymer interactions, network formation, rheological behaviour, and microstructure development, will be discussed. </w:t>
      </w:r>
      <w:proofErr w:type="gramStart"/>
      <w:r w:rsidRPr="00297610">
        <w:t>Particular attention</w:t>
      </w:r>
      <w:proofErr w:type="gramEnd"/>
      <w:r w:rsidRPr="00297610">
        <w:t xml:space="preserve"> will be given to strategies for tailoring gel properties through polymer molecular weight and concentration, oil composition, and the addition of surfactants, fatty acids, and fatty alcohols.</w:t>
      </w:r>
    </w:p>
    <w:p w14:paraId="1165B0A2" w14:textId="77777777" w:rsidR="00297610" w:rsidRPr="00297610" w:rsidRDefault="00297610" w:rsidP="00297610">
      <w:r w:rsidRPr="00297610">
        <w:t xml:space="preserve">The ability of EC networks to regulate lipid digestion and absorption will then be examined. In vitro studies demonstrated that sufficiently strong EC networks markedly reduced lipid hydrolysis, whereas weaker networks behaved similarly to unstructured oil. Randomized crossover human studies subsequently showed that EC </w:t>
      </w:r>
      <w:proofErr w:type="spellStart"/>
      <w:r w:rsidRPr="00297610">
        <w:t>oleogelation</w:t>
      </w:r>
      <w:proofErr w:type="spellEnd"/>
      <w:r w:rsidRPr="00297610">
        <w:t xml:space="preserve"> strongly attenuated the six-hour postprandial plasma triglyceride response relative to the corresponding liquid oils. These effects were observed with coconut, palm, and rice-bran oils, demonstrating that the physical form of dietary fat can influence its acute biological availability without changing the amount or composition of the oil.</w:t>
      </w:r>
    </w:p>
    <w:p w14:paraId="0535F904" w14:textId="77777777" w:rsidR="00297610" w:rsidRPr="00297610" w:rsidRDefault="00297610" w:rsidP="00297610">
      <w:r w:rsidRPr="00297610">
        <w:t xml:space="preserve">EC </w:t>
      </w:r>
      <w:proofErr w:type="spellStart"/>
      <w:r w:rsidRPr="00297610">
        <w:t>oleogels</w:t>
      </w:r>
      <w:proofErr w:type="spellEnd"/>
      <w:r w:rsidRPr="00297610">
        <w:t xml:space="preserve"> also provide a means of controlling the delivery of lipophilic </w:t>
      </w:r>
      <w:proofErr w:type="spellStart"/>
      <w:r w:rsidRPr="00297610">
        <w:t>bioactives</w:t>
      </w:r>
      <w:proofErr w:type="spellEnd"/>
      <w:r w:rsidRPr="00297610">
        <w:t xml:space="preserve">. Using β-carotene as a model compound, </w:t>
      </w:r>
      <w:proofErr w:type="spellStart"/>
      <w:r w:rsidRPr="00297610">
        <w:t>oleogel</w:t>
      </w:r>
      <w:proofErr w:type="spellEnd"/>
      <w:r w:rsidRPr="00297610">
        <w:t xml:space="preserve"> structure was shown to regulate lipid hydrolysis and subsequent transfer of the bioactive into the aqueous micellar phase during digestion, while also providing protection against degradation during storage. We are now beginning to investigate EC </w:t>
      </w:r>
      <w:proofErr w:type="spellStart"/>
      <w:r w:rsidRPr="00297610">
        <w:t>oleogels</w:t>
      </w:r>
      <w:proofErr w:type="spellEnd"/>
      <w:r w:rsidRPr="00297610">
        <w:t xml:space="preserve"> as structured inks for three-dimensional food printing, creating the possibility of spatially organizing lipid phases, </w:t>
      </w:r>
      <w:proofErr w:type="spellStart"/>
      <w:r w:rsidRPr="00297610">
        <w:t>bioactives</w:t>
      </w:r>
      <w:proofErr w:type="spellEnd"/>
      <w:r w:rsidRPr="00297610">
        <w:t xml:space="preserve">, and other food components within composite structures. Collectively, these findings position polymeric </w:t>
      </w:r>
      <w:proofErr w:type="spellStart"/>
      <w:r w:rsidRPr="00297610">
        <w:t>oleogels</w:t>
      </w:r>
      <w:proofErr w:type="spellEnd"/>
      <w:r w:rsidRPr="00297610">
        <w:t xml:space="preserve"> as a versatile platform for connecting food-material architecture with mechanical functionality, lipid bioavailability, and controlled delivery.</w:t>
      </w:r>
    </w:p>
    <w:p w14:paraId="60814A26" w14:textId="60535A48" w:rsidR="007F3CDB" w:rsidRDefault="007F3CDB"/>
    <w:sectPr w:rsidR="007F3C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BC9"/>
    <w:rsid w:val="00297610"/>
    <w:rsid w:val="00387BC9"/>
    <w:rsid w:val="0055166D"/>
    <w:rsid w:val="007F3CDB"/>
    <w:rsid w:val="00922DF9"/>
    <w:rsid w:val="00B56419"/>
    <w:rsid w:val="00D45BF5"/>
    <w:rsid w:val="00EC526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43AEB"/>
  <w15:chartTrackingRefBased/>
  <w15:docId w15:val="{0125FC6D-5798-4BCE-8444-C4FA626C1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7B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7B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7B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7B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7B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7B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7B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7B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7B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B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7B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7B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7B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7B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7B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B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B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BC9"/>
    <w:rPr>
      <w:rFonts w:eastAsiaTheme="majorEastAsia" w:cstheme="majorBidi"/>
      <w:color w:val="272727" w:themeColor="text1" w:themeTint="D8"/>
    </w:rPr>
  </w:style>
  <w:style w:type="paragraph" w:styleId="Title">
    <w:name w:val="Title"/>
    <w:basedOn w:val="Normal"/>
    <w:next w:val="Normal"/>
    <w:link w:val="TitleChar"/>
    <w:uiPriority w:val="10"/>
    <w:qFormat/>
    <w:rsid w:val="00387B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B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B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B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BC9"/>
    <w:pPr>
      <w:spacing w:before="160"/>
      <w:jc w:val="center"/>
    </w:pPr>
    <w:rPr>
      <w:i/>
      <w:iCs/>
      <w:color w:val="404040" w:themeColor="text1" w:themeTint="BF"/>
    </w:rPr>
  </w:style>
  <w:style w:type="character" w:customStyle="1" w:styleId="QuoteChar">
    <w:name w:val="Quote Char"/>
    <w:basedOn w:val="DefaultParagraphFont"/>
    <w:link w:val="Quote"/>
    <w:uiPriority w:val="29"/>
    <w:rsid w:val="00387BC9"/>
    <w:rPr>
      <w:i/>
      <w:iCs/>
      <w:color w:val="404040" w:themeColor="text1" w:themeTint="BF"/>
    </w:rPr>
  </w:style>
  <w:style w:type="paragraph" w:styleId="ListParagraph">
    <w:name w:val="List Paragraph"/>
    <w:basedOn w:val="Normal"/>
    <w:uiPriority w:val="34"/>
    <w:qFormat/>
    <w:rsid w:val="00387BC9"/>
    <w:pPr>
      <w:ind w:left="720"/>
      <w:contextualSpacing/>
    </w:pPr>
  </w:style>
  <w:style w:type="character" w:styleId="IntenseEmphasis">
    <w:name w:val="Intense Emphasis"/>
    <w:basedOn w:val="DefaultParagraphFont"/>
    <w:uiPriority w:val="21"/>
    <w:qFormat/>
    <w:rsid w:val="00387BC9"/>
    <w:rPr>
      <w:i/>
      <w:iCs/>
      <w:color w:val="0F4761" w:themeColor="accent1" w:themeShade="BF"/>
    </w:rPr>
  </w:style>
  <w:style w:type="paragraph" w:styleId="IntenseQuote">
    <w:name w:val="Intense Quote"/>
    <w:basedOn w:val="Normal"/>
    <w:next w:val="Normal"/>
    <w:link w:val="IntenseQuoteChar"/>
    <w:uiPriority w:val="30"/>
    <w:qFormat/>
    <w:rsid w:val="00387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7BC9"/>
    <w:rPr>
      <w:i/>
      <w:iCs/>
      <w:color w:val="0F4761" w:themeColor="accent1" w:themeShade="BF"/>
    </w:rPr>
  </w:style>
  <w:style w:type="character" w:styleId="IntenseReference">
    <w:name w:val="Intense Reference"/>
    <w:basedOn w:val="DefaultParagraphFont"/>
    <w:uiPriority w:val="32"/>
    <w:qFormat/>
    <w:rsid w:val="00387B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413</Words>
  <Characters>2360</Characters>
  <Application>Microsoft Office Word</Application>
  <DocSecurity>0</DocSecurity>
  <Lines>19</Lines>
  <Paragraphs>5</Paragraphs>
  <ScaleCrop>false</ScaleCrop>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G Marangoni</dc:creator>
  <cp:keywords/>
  <dc:description/>
  <cp:lastModifiedBy>Alejandro G Marangoni</cp:lastModifiedBy>
  <cp:revision>2</cp:revision>
  <dcterms:created xsi:type="dcterms:W3CDTF">2026-07-15T18:43:00Z</dcterms:created>
  <dcterms:modified xsi:type="dcterms:W3CDTF">2026-07-15T18:43:00Z</dcterms:modified>
</cp:coreProperties>
</file>