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8BA1" w14:textId="46CF1D3C" w:rsidR="00DA3130" w:rsidRPr="00C00E1C" w:rsidRDefault="001862CB">
      <w:pPr>
        <w:rPr>
          <w:b/>
          <w:bCs/>
          <w:lang w:val="en-US"/>
        </w:rPr>
      </w:pPr>
      <w:proofErr w:type="gramStart"/>
      <w:r w:rsidRPr="00C00E1C">
        <w:rPr>
          <w:b/>
          <w:bCs/>
          <w:lang w:val="en-US"/>
        </w:rPr>
        <w:t>”Here</w:t>
      </w:r>
      <w:proofErr w:type="gramEnd"/>
      <w:r w:rsidRPr="00C00E1C">
        <w:rPr>
          <w:b/>
          <w:bCs/>
          <w:lang w:val="en-US"/>
        </w:rPr>
        <w:t xml:space="preserve"> to </w:t>
      </w:r>
      <w:proofErr w:type="gramStart"/>
      <w:r w:rsidRPr="00C00E1C">
        <w:rPr>
          <w:b/>
          <w:bCs/>
          <w:lang w:val="en-US"/>
        </w:rPr>
        <w:t>stay“ –</w:t>
      </w:r>
      <w:proofErr w:type="gramEnd"/>
      <w:r w:rsidRPr="00C00E1C">
        <w:rPr>
          <w:b/>
          <w:bCs/>
          <w:lang w:val="en-US"/>
        </w:rPr>
        <w:t xml:space="preserve"> Ciguatoxins and ciguatera in the EU</w:t>
      </w:r>
    </w:p>
    <w:p w14:paraId="12A1692E" w14:textId="6A9A2A7C" w:rsidR="001862CB" w:rsidRDefault="001862CB">
      <w:pPr>
        <w:rPr>
          <w:lang w:val="en-US"/>
        </w:rPr>
      </w:pPr>
      <w:r>
        <w:rPr>
          <w:lang w:val="en-US"/>
        </w:rPr>
        <w:t xml:space="preserve">Astrid Spielmeyer, </w:t>
      </w:r>
      <w:r w:rsidR="00A50236" w:rsidRPr="00A50236">
        <w:rPr>
          <w:lang w:val="en-US"/>
        </w:rPr>
        <w:t>German Federal Institute for Risk Assessment, Reference Centre for Food and Feed Analysis</w:t>
      </w:r>
    </w:p>
    <w:p w14:paraId="3A573B7C" w14:textId="3F91E2AF" w:rsidR="001862CB" w:rsidRDefault="001862CB">
      <w:pPr>
        <w:rPr>
          <w:lang w:val="en-US"/>
        </w:rPr>
      </w:pPr>
    </w:p>
    <w:p w14:paraId="11F5F003" w14:textId="6CAA7B2D" w:rsidR="00D5688E" w:rsidRDefault="001862CB" w:rsidP="001862CB">
      <w:pPr>
        <w:rPr>
          <w:lang w:val="en-US"/>
        </w:rPr>
      </w:pPr>
      <w:r w:rsidRPr="001862CB">
        <w:rPr>
          <w:lang w:val="en-US"/>
        </w:rPr>
        <w:t xml:space="preserve">Ciguatoxins (CTXs) are a group of marine biotoxins, </w:t>
      </w:r>
      <w:r w:rsidR="00E36F39">
        <w:rPr>
          <w:lang w:val="en-US"/>
        </w:rPr>
        <w:t>encompassing</w:t>
      </w:r>
      <w:r w:rsidRPr="001862CB">
        <w:rPr>
          <w:lang w:val="en-US"/>
        </w:rPr>
        <w:t xml:space="preserve"> over </w:t>
      </w:r>
      <w:r>
        <w:rPr>
          <w:lang w:val="en-US"/>
        </w:rPr>
        <w:t xml:space="preserve">thirty </w:t>
      </w:r>
      <w:r w:rsidRPr="001862CB">
        <w:rPr>
          <w:lang w:val="en-US"/>
        </w:rPr>
        <w:t xml:space="preserve">different </w:t>
      </w:r>
      <w:r>
        <w:rPr>
          <w:lang w:val="en-US"/>
        </w:rPr>
        <w:t>analogues</w:t>
      </w:r>
      <w:r w:rsidRPr="001862CB">
        <w:rPr>
          <w:lang w:val="en-US"/>
        </w:rPr>
        <w:t xml:space="preserve"> that can contaminate marine food webs.</w:t>
      </w:r>
      <w:r>
        <w:rPr>
          <w:lang w:val="en-US"/>
        </w:rPr>
        <w:t xml:space="preserve"> </w:t>
      </w:r>
      <w:r w:rsidR="00E36F39">
        <w:rPr>
          <w:lang w:val="en-US"/>
        </w:rPr>
        <w:t>Consuming</w:t>
      </w:r>
      <w:r w:rsidRPr="001862CB">
        <w:rPr>
          <w:lang w:val="en-US"/>
        </w:rPr>
        <w:t xml:space="preserve"> seafood containing CTXs can result in ciguatera</w:t>
      </w:r>
      <w:r>
        <w:rPr>
          <w:lang w:val="en-US"/>
        </w:rPr>
        <w:t xml:space="preserve"> </w:t>
      </w:r>
      <w:r w:rsidRPr="001862CB">
        <w:rPr>
          <w:lang w:val="en-US"/>
        </w:rPr>
        <w:t xml:space="preserve">poisoning (CP), </w:t>
      </w:r>
      <w:r w:rsidR="00E36F39">
        <w:rPr>
          <w:lang w:val="en-US"/>
        </w:rPr>
        <w:t>the most common non-bacterial, seafood-related illness worldwide</w:t>
      </w:r>
      <w:r w:rsidRPr="001862CB">
        <w:rPr>
          <w:lang w:val="en-US"/>
        </w:rPr>
        <w:t>.</w:t>
      </w:r>
      <w:r w:rsidR="00726757">
        <w:rPr>
          <w:lang w:val="en-US"/>
        </w:rPr>
        <w:t xml:space="preserve"> </w:t>
      </w:r>
      <w:r w:rsidR="00E36F39">
        <w:rPr>
          <w:lang w:val="en-US"/>
        </w:rPr>
        <w:t xml:space="preserve">The most defining </w:t>
      </w:r>
      <w:r w:rsidR="00726757">
        <w:rPr>
          <w:lang w:val="en-US"/>
        </w:rPr>
        <w:t>symptom</w:t>
      </w:r>
      <w:r w:rsidR="0081725B">
        <w:rPr>
          <w:lang w:val="en-US"/>
        </w:rPr>
        <w:t>s</w:t>
      </w:r>
      <w:r w:rsidR="00E36F39">
        <w:rPr>
          <w:lang w:val="en-US"/>
        </w:rPr>
        <w:t xml:space="preserve"> </w:t>
      </w:r>
      <w:r w:rsidR="0081725B">
        <w:rPr>
          <w:lang w:val="en-US"/>
        </w:rPr>
        <w:t>are</w:t>
      </w:r>
      <w:r w:rsidR="00E36F39">
        <w:rPr>
          <w:lang w:val="en-US"/>
        </w:rPr>
        <w:t xml:space="preserve"> the reversal of temperature sensation (‘</w:t>
      </w:r>
      <w:r w:rsidR="00726757">
        <w:rPr>
          <w:lang w:val="en-US"/>
        </w:rPr>
        <w:t>hot-cold reversal</w:t>
      </w:r>
      <w:r w:rsidR="00E36F39">
        <w:rPr>
          <w:lang w:val="en-US"/>
        </w:rPr>
        <w:t>’)</w:t>
      </w:r>
      <w:r w:rsidR="00726757">
        <w:rPr>
          <w:lang w:val="en-US"/>
        </w:rPr>
        <w:t xml:space="preserve"> or cold </w:t>
      </w:r>
      <w:r w:rsidR="00B25C87" w:rsidRPr="00B25C87">
        <w:rPr>
          <w:lang w:val="en-US"/>
        </w:rPr>
        <w:t>dysesthesia</w:t>
      </w:r>
      <w:r w:rsidR="00726757">
        <w:rPr>
          <w:lang w:val="en-US"/>
        </w:rPr>
        <w:t>.</w:t>
      </w:r>
    </w:p>
    <w:p w14:paraId="049B449B" w14:textId="2A99BCCF" w:rsidR="00285C34" w:rsidRDefault="00DE388D" w:rsidP="001862CB">
      <w:pPr>
        <w:rPr>
          <w:lang w:val="en-US"/>
        </w:rPr>
      </w:pPr>
      <w:r>
        <w:rPr>
          <w:lang w:val="en-US"/>
        </w:rPr>
        <w:t>Two</w:t>
      </w:r>
      <w:r w:rsidR="00D5688E">
        <w:rPr>
          <w:lang w:val="en-US"/>
        </w:rPr>
        <w:t xml:space="preserve"> commonly applied methods for CTX analysis are </w:t>
      </w:r>
      <w:r w:rsidR="00D5688E" w:rsidRPr="00B25C87">
        <w:rPr>
          <w:lang w:val="en-US"/>
        </w:rPr>
        <w:t>a</w:t>
      </w:r>
      <w:r w:rsidR="00D5688E">
        <w:rPr>
          <w:lang w:val="en-US"/>
        </w:rPr>
        <w:t xml:space="preserve"> cell based </w:t>
      </w:r>
      <w:r w:rsidR="00D5688E" w:rsidRPr="00B25C87">
        <w:rPr>
          <w:i/>
          <w:lang w:val="en-US"/>
        </w:rPr>
        <w:t>in vitro</w:t>
      </w:r>
      <w:r w:rsidR="00D5688E">
        <w:rPr>
          <w:lang w:val="en-US"/>
        </w:rPr>
        <w:t xml:space="preserve"> </w:t>
      </w:r>
      <w:r w:rsidR="00D5688E" w:rsidRPr="00B25C87">
        <w:rPr>
          <w:lang w:val="en-US"/>
        </w:rPr>
        <w:t>cytotoxicity assay (</w:t>
      </w:r>
      <w:r w:rsidR="00D5688E">
        <w:rPr>
          <w:lang w:val="en-US"/>
        </w:rPr>
        <w:t>neuro</w:t>
      </w:r>
      <w:r w:rsidR="00D5688E" w:rsidRPr="00B25C87">
        <w:rPr>
          <w:lang w:val="en-US"/>
        </w:rPr>
        <w:t>2a-assay) and LC-MS/MS</w:t>
      </w:r>
      <w:r w:rsidR="00D5688E">
        <w:rPr>
          <w:lang w:val="en-US"/>
        </w:rPr>
        <w:t xml:space="preserve">. Analyzing </w:t>
      </w:r>
      <w:r w:rsidR="00D5688E" w:rsidRPr="00BA28F6">
        <w:rPr>
          <w:lang w:val="en-US"/>
        </w:rPr>
        <w:t>CTXs is challenging</w:t>
      </w:r>
      <w:r w:rsidR="00EA2733">
        <w:rPr>
          <w:lang w:val="en-US"/>
        </w:rPr>
        <w:t xml:space="preserve"> as</w:t>
      </w:r>
      <w:r w:rsidR="00D5688E" w:rsidRPr="00BA28F6">
        <w:rPr>
          <w:lang w:val="en-US"/>
        </w:rPr>
        <w:t xml:space="preserve"> they occur in complex tissue </w:t>
      </w:r>
      <w:r w:rsidR="00D5688E">
        <w:rPr>
          <w:lang w:val="en-US"/>
        </w:rPr>
        <w:t>in</w:t>
      </w:r>
      <w:r w:rsidR="00D5688E" w:rsidRPr="00BA28F6">
        <w:rPr>
          <w:lang w:val="en-US"/>
        </w:rPr>
        <w:t xml:space="preserve"> trace amounts (&lt;1 </w:t>
      </w:r>
      <w:proofErr w:type="spellStart"/>
      <w:r w:rsidR="00D5688E" w:rsidRPr="00BA28F6">
        <w:rPr>
          <w:lang w:val="en-US"/>
        </w:rPr>
        <w:t>μg</w:t>
      </w:r>
      <w:proofErr w:type="spellEnd"/>
      <w:r w:rsidR="00D5688E">
        <w:rPr>
          <w:lang w:val="en-US"/>
        </w:rPr>
        <w:t>/</w:t>
      </w:r>
      <w:r w:rsidR="00D5688E" w:rsidRPr="00BA28F6">
        <w:rPr>
          <w:lang w:val="en-US"/>
        </w:rPr>
        <w:t>kg)</w:t>
      </w:r>
      <w:r w:rsidR="00D5688E">
        <w:rPr>
          <w:lang w:val="en-US"/>
        </w:rPr>
        <w:t xml:space="preserve">. </w:t>
      </w:r>
      <w:r w:rsidR="00285C34">
        <w:rPr>
          <w:lang w:val="en-US"/>
        </w:rPr>
        <w:t xml:space="preserve">Currently, no standard operating protocols exist for sample preparation or analysis. </w:t>
      </w:r>
      <w:r w:rsidR="00D5688E">
        <w:rPr>
          <w:lang w:val="en-US"/>
        </w:rPr>
        <w:t>C</w:t>
      </w:r>
      <w:r w:rsidR="00D5688E" w:rsidRPr="00B25C87">
        <w:rPr>
          <w:lang w:val="en-US"/>
        </w:rPr>
        <w:t xml:space="preserve">ertified reference materials </w:t>
      </w:r>
      <w:r w:rsidR="00D5688E">
        <w:rPr>
          <w:lang w:val="en-US"/>
        </w:rPr>
        <w:t xml:space="preserve">or </w:t>
      </w:r>
      <w:r w:rsidR="007935B8">
        <w:rPr>
          <w:lang w:val="en-US"/>
        </w:rPr>
        <w:t xml:space="preserve">certified </w:t>
      </w:r>
      <w:r w:rsidR="00D5688E">
        <w:rPr>
          <w:lang w:val="en-US"/>
        </w:rPr>
        <w:t xml:space="preserve">standards </w:t>
      </w:r>
      <w:r w:rsidR="00D5688E" w:rsidRPr="00B25C87">
        <w:rPr>
          <w:lang w:val="en-US"/>
        </w:rPr>
        <w:t>are not available</w:t>
      </w:r>
      <w:r w:rsidR="00D5688E">
        <w:rPr>
          <w:lang w:val="en-US"/>
        </w:rPr>
        <w:t>, hampering quantification of CTXs as shown within a recent LC-MS/MS method comparison study.</w:t>
      </w:r>
    </w:p>
    <w:p w14:paraId="5AB216DC" w14:textId="3ED2D1C3" w:rsidR="001862CB" w:rsidRPr="001862CB" w:rsidRDefault="00D5688E" w:rsidP="001862CB">
      <w:pPr>
        <w:rPr>
          <w:lang w:val="en-US"/>
        </w:rPr>
      </w:pPr>
      <w:r>
        <w:rPr>
          <w:lang w:val="en-US"/>
        </w:rPr>
        <w:t xml:space="preserve">Both analytical methods were used in our institute to investigate samples related to CP outbreaks. </w:t>
      </w:r>
      <w:r w:rsidR="00726757">
        <w:rPr>
          <w:lang w:val="en-US"/>
        </w:rPr>
        <w:t>Since 2012,</w:t>
      </w:r>
      <w:r w:rsidR="00BA28F6">
        <w:rPr>
          <w:lang w:val="en-US"/>
        </w:rPr>
        <w:t xml:space="preserve"> there have been repeated</w:t>
      </w:r>
      <w:r w:rsidR="00726757">
        <w:rPr>
          <w:lang w:val="en-US"/>
        </w:rPr>
        <w:t xml:space="preserve"> CP outbreaks in Germany, </w:t>
      </w:r>
      <w:r w:rsidR="00AC3C36">
        <w:rPr>
          <w:lang w:val="en-US"/>
        </w:rPr>
        <w:t xml:space="preserve">the latest occurred in October 2025. Outbreaks were </w:t>
      </w:r>
      <w:r w:rsidR="00BA28F6">
        <w:rPr>
          <w:lang w:val="en-US"/>
        </w:rPr>
        <w:t xml:space="preserve">caused </w:t>
      </w:r>
      <w:r w:rsidR="00E36F39">
        <w:rPr>
          <w:lang w:val="en-US"/>
        </w:rPr>
        <w:t xml:space="preserve">primarily </w:t>
      </w:r>
      <w:r w:rsidR="00BA28F6">
        <w:rPr>
          <w:lang w:val="en-US"/>
        </w:rPr>
        <w:t>by imported snapper fish</w:t>
      </w:r>
      <w:r w:rsidR="00B25C87">
        <w:rPr>
          <w:lang w:val="en-US"/>
        </w:rPr>
        <w:t xml:space="preserve"> (</w:t>
      </w:r>
      <w:r w:rsidR="00B25C87" w:rsidRPr="00B25C87">
        <w:rPr>
          <w:lang w:val="en-US"/>
        </w:rPr>
        <w:t>Lutjanidae</w:t>
      </w:r>
      <w:r w:rsidR="00B25C87">
        <w:rPr>
          <w:lang w:val="en-US"/>
        </w:rPr>
        <w:t>)</w:t>
      </w:r>
      <w:r>
        <w:rPr>
          <w:lang w:val="en-US"/>
        </w:rPr>
        <w:t>,</w:t>
      </w:r>
      <w:r w:rsidR="00AC3C36">
        <w:rPr>
          <w:lang w:val="en-US"/>
        </w:rPr>
        <w:t xml:space="preserve"> </w:t>
      </w:r>
      <w:r w:rsidR="00CF1D4C">
        <w:rPr>
          <w:lang w:val="en-US"/>
        </w:rPr>
        <w:t>in several cases</w:t>
      </w:r>
      <w:r w:rsidR="00AC3C36">
        <w:rPr>
          <w:lang w:val="en-US"/>
        </w:rPr>
        <w:t xml:space="preserve"> product</w:t>
      </w:r>
      <w:r w:rsidR="00CF1D4C">
        <w:rPr>
          <w:lang w:val="en-US"/>
        </w:rPr>
        <w:t xml:space="preserve"> mislabeling was found (i.e., different species)</w:t>
      </w:r>
      <w:r w:rsidR="00AC3C36">
        <w:rPr>
          <w:lang w:val="en-US"/>
        </w:rPr>
        <w:t>.</w:t>
      </w:r>
      <w:r>
        <w:rPr>
          <w:lang w:val="en-US"/>
        </w:rPr>
        <w:t xml:space="preserve"> </w:t>
      </w:r>
      <w:r w:rsidR="005D087D">
        <w:rPr>
          <w:lang w:val="en-US"/>
        </w:rPr>
        <w:t>Beyond import</w:t>
      </w:r>
      <w:r w:rsidR="007D7B28">
        <w:rPr>
          <w:lang w:val="en-US"/>
        </w:rPr>
        <w:t>ation</w:t>
      </w:r>
      <w:r w:rsidR="00DE388D">
        <w:rPr>
          <w:lang w:val="en-US"/>
        </w:rPr>
        <w:t xml:space="preserve"> </w:t>
      </w:r>
      <w:r w:rsidR="007D7B28">
        <w:rPr>
          <w:lang w:val="en-US"/>
        </w:rPr>
        <w:t>in</w:t>
      </w:r>
      <w:r w:rsidR="00DE388D">
        <w:rPr>
          <w:lang w:val="en-US"/>
        </w:rPr>
        <w:t>to the European Union</w:t>
      </w:r>
      <w:r w:rsidR="005D087D">
        <w:rPr>
          <w:lang w:val="en-US"/>
        </w:rPr>
        <w:t xml:space="preserve">, CTX producers </w:t>
      </w:r>
      <w:r w:rsidR="007D7B28">
        <w:rPr>
          <w:lang w:val="en-US"/>
        </w:rPr>
        <w:t>have expanded in</w:t>
      </w:r>
      <w:r w:rsidR="00E36F39">
        <w:rPr>
          <w:lang w:val="en-US"/>
        </w:rPr>
        <w:t xml:space="preserve">to new regions, including </w:t>
      </w:r>
      <w:r w:rsidR="00DE388D">
        <w:rPr>
          <w:lang w:val="en-US"/>
        </w:rPr>
        <w:t>EU</w:t>
      </w:r>
      <w:r w:rsidR="00E36F39">
        <w:rPr>
          <w:lang w:val="en-US"/>
        </w:rPr>
        <w:t xml:space="preserve"> territories</w:t>
      </w:r>
      <w:r w:rsidR="005D087D">
        <w:rPr>
          <w:lang w:val="en-US"/>
        </w:rPr>
        <w:t xml:space="preserve">. </w:t>
      </w:r>
      <w:r w:rsidR="00D67EE9">
        <w:rPr>
          <w:lang w:val="en-US"/>
        </w:rPr>
        <w:t>Species of (potential</w:t>
      </w:r>
      <w:r w:rsidR="00EA2733">
        <w:rPr>
          <w:lang w:val="en-US"/>
        </w:rPr>
        <w:t>ly</w:t>
      </w:r>
      <w:r w:rsidR="00D67EE9">
        <w:rPr>
          <w:lang w:val="en-US"/>
        </w:rPr>
        <w:t xml:space="preserve">) CTX producing genera are now found in the Mediterranean Sea. </w:t>
      </w:r>
      <w:r w:rsidR="00DE388D">
        <w:rPr>
          <w:lang w:val="en-US"/>
        </w:rPr>
        <w:t xml:space="preserve">Due to </w:t>
      </w:r>
      <w:r w:rsidR="00CF1D4C" w:rsidRPr="00CF1D4C">
        <w:rPr>
          <w:lang w:val="en-US"/>
        </w:rPr>
        <w:t>autochthonous</w:t>
      </w:r>
      <w:r w:rsidR="00CF1D4C">
        <w:rPr>
          <w:lang w:val="en-US"/>
        </w:rPr>
        <w:t xml:space="preserve"> </w:t>
      </w:r>
      <w:r w:rsidR="00DE388D">
        <w:rPr>
          <w:lang w:val="en-US"/>
        </w:rPr>
        <w:t>CP outbreaks, t</w:t>
      </w:r>
      <w:r w:rsidR="00DF3CEE">
        <w:rPr>
          <w:lang w:val="en-US"/>
        </w:rPr>
        <w:t>he</w:t>
      </w:r>
      <w:r w:rsidR="005D087D">
        <w:rPr>
          <w:lang w:val="en-US"/>
        </w:rPr>
        <w:t xml:space="preserve"> Canary Islands</w:t>
      </w:r>
      <w:r w:rsidR="00E36F39">
        <w:rPr>
          <w:lang w:val="en-US"/>
        </w:rPr>
        <w:t xml:space="preserve"> have established a comprehensive CTX</w:t>
      </w:r>
      <w:r w:rsidR="005D087D">
        <w:rPr>
          <w:lang w:val="en-US"/>
        </w:rPr>
        <w:t xml:space="preserve"> monitoring program </w:t>
      </w:r>
      <w:r w:rsidR="00E36F39">
        <w:rPr>
          <w:lang w:val="en-US"/>
        </w:rPr>
        <w:t>to manage the risk of CP</w:t>
      </w:r>
      <w:r w:rsidR="005D087D">
        <w:rPr>
          <w:lang w:val="en-US"/>
        </w:rPr>
        <w:t xml:space="preserve">. </w:t>
      </w:r>
    </w:p>
    <w:sectPr w:rsidR="001862CB" w:rsidRPr="001862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2DE"/>
    <w:rsid w:val="00026728"/>
    <w:rsid w:val="001862CB"/>
    <w:rsid w:val="00285C34"/>
    <w:rsid w:val="002F4D3C"/>
    <w:rsid w:val="00444C50"/>
    <w:rsid w:val="005D087D"/>
    <w:rsid w:val="005F62DE"/>
    <w:rsid w:val="006F5E4B"/>
    <w:rsid w:val="00726757"/>
    <w:rsid w:val="00770DD6"/>
    <w:rsid w:val="007935B8"/>
    <w:rsid w:val="007D7B28"/>
    <w:rsid w:val="0081725B"/>
    <w:rsid w:val="00A50236"/>
    <w:rsid w:val="00AC3C36"/>
    <w:rsid w:val="00B25C87"/>
    <w:rsid w:val="00BA28F6"/>
    <w:rsid w:val="00C00E1C"/>
    <w:rsid w:val="00CF1D4C"/>
    <w:rsid w:val="00D5688E"/>
    <w:rsid w:val="00D67EE9"/>
    <w:rsid w:val="00DA3130"/>
    <w:rsid w:val="00DE388D"/>
    <w:rsid w:val="00DF3CEE"/>
    <w:rsid w:val="00E36F39"/>
    <w:rsid w:val="00EA2733"/>
    <w:rsid w:val="00EB4834"/>
    <w:rsid w:val="00EE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81093"/>
  <w15:chartTrackingRefBased/>
  <w15:docId w15:val="{5531EB4A-4079-48C3-ACED-7D1871CFB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Dr. Astrid Spielmeyer</dc:creator>
  <cp:keywords/>
  <dc:description/>
  <cp:lastModifiedBy>Isabelle Lim</cp:lastModifiedBy>
  <cp:revision>13</cp:revision>
  <dcterms:created xsi:type="dcterms:W3CDTF">2026-05-13T06:22:00Z</dcterms:created>
  <dcterms:modified xsi:type="dcterms:W3CDTF">2026-05-25T01:47:00Z</dcterms:modified>
</cp:coreProperties>
</file>