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F71BE" w14:textId="60CBD68F" w:rsidR="00523AA8" w:rsidRDefault="00A26450" w:rsidP="00FE53BF">
      <w:pPr>
        <w:jc w:val="both"/>
        <w:rPr>
          <w:rFonts w:ascii="Arial" w:hAnsi="Arial" w:cs="Arial"/>
          <w:b/>
          <w:bCs/>
          <w:sz w:val="24"/>
          <w:szCs w:val="24"/>
          <w:lang w:val="en-US"/>
        </w:rPr>
      </w:pPr>
      <w:r>
        <w:rPr>
          <w:rFonts w:ascii="Arial" w:hAnsi="Arial" w:cs="Arial"/>
          <w:b/>
          <w:bCs/>
          <w:sz w:val="24"/>
          <w:szCs w:val="24"/>
          <w:lang w:val="en-US"/>
        </w:rPr>
        <w:t xml:space="preserve">Title: </w:t>
      </w:r>
      <w:r w:rsidR="00523AA8" w:rsidRPr="00523AA8">
        <w:rPr>
          <w:rFonts w:ascii="Arial" w:hAnsi="Arial" w:cs="Arial"/>
          <w:b/>
          <w:bCs/>
          <w:sz w:val="24"/>
          <w:szCs w:val="24"/>
          <w:lang w:val="en-US"/>
        </w:rPr>
        <w:t xml:space="preserve">Water Quality, Microbial Communities and Pathogen Risks </w:t>
      </w:r>
      <w:r w:rsidR="00523AA8" w:rsidRPr="00523AA8">
        <w:rPr>
          <w:rFonts w:ascii="Arial" w:hAnsi="Arial" w:cs="Arial"/>
          <w:b/>
          <w:bCs/>
          <w:sz w:val="24"/>
          <w:szCs w:val="24"/>
          <w:lang w:val="en-US"/>
        </w:rPr>
        <w:br/>
        <w:t>in Freshwater Aquaculture</w:t>
      </w:r>
    </w:p>
    <w:p w14:paraId="0512B32E" w14:textId="7D52157E" w:rsidR="00FE53BF" w:rsidRPr="0046129F" w:rsidRDefault="00FE53BF" w:rsidP="00FE53BF">
      <w:pPr>
        <w:jc w:val="both"/>
        <w:rPr>
          <w:rFonts w:ascii="Arial" w:hAnsi="Arial" w:cs="Arial"/>
          <w:sz w:val="24"/>
          <w:szCs w:val="24"/>
          <w:lang w:val="en-MY"/>
        </w:rPr>
      </w:pPr>
      <w:r w:rsidRPr="0046129F">
        <w:rPr>
          <w:rFonts w:ascii="Arial" w:hAnsi="Arial" w:cs="Arial"/>
          <w:sz w:val="24"/>
          <w:szCs w:val="24"/>
          <w:lang w:val="en-MY"/>
        </w:rPr>
        <w:t xml:space="preserve">Freshwater aquaculture is expanding rapidly worldwide, including in Malaysia. However, its sustainability is increasingly challenged by deteriorating water quality, which disrupts microbial community balance and subsequently elevates the risk of pathogen emergence, particularly that of </w:t>
      </w:r>
      <w:r w:rsidRPr="0046129F">
        <w:rPr>
          <w:rFonts w:ascii="Arial" w:hAnsi="Arial" w:cs="Arial"/>
          <w:i/>
          <w:iCs/>
          <w:sz w:val="24"/>
          <w:szCs w:val="24"/>
          <w:lang w:val="en-MY"/>
        </w:rPr>
        <w:t>Aeromonas dhakensis</w:t>
      </w:r>
      <w:r w:rsidRPr="0046129F">
        <w:rPr>
          <w:rFonts w:ascii="Arial" w:hAnsi="Arial" w:cs="Arial"/>
          <w:sz w:val="24"/>
          <w:szCs w:val="24"/>
          <w:lang w:val="en-MY"/>
        </w:rPr>
        <w:t xml:space="preserve">. In this study, the relationships among physicochemical water parameters, microbial community structure, and the prevalence of </w:t>
      </w:r>
      <w:r w:rsidRPr="0046129F">
        <w:rPr>
          <w:rFonts w:ascii="Arial" w:hAnsi="Arial" w:cs="Arial"/>
          <w:i/>
          <w:iCs/>
          <w:sz w:val="24"/>
          <w:szCs w:val="24"/>
          <w:lang w:val="en-MY"/>
        </w:rPr>
        <w:t>A. dhakensis</w:t>
      </w:r>
      <w:r w:rsidRPr="0046129F">
        <w:rPr>
          <w:rFonts w:ascii="Arial" w:hAnsi="Arial" w:cs="Arial"/>
          <w:sz w:val="24"/>
          <w:szCs w:val="24"/>
          <w:lang w:val="en-MY"/>
        </w:rPr>
        <w:t xml:space="preserve"> were investigated across four freshwater tilapia farming systems: floating cages, earthen ponds, cement tanks, and canvas tanks.</w:t>
      </w:r>
    </w:p>
    <w:p w14:paraId="39709C91" w14:textId="77777777" w:rsidR="00FE53BF" w:rsidRPr="0046129F" w:rsidRDefault="00FE53BF" w:rsidP="00FE53BF">
      <w:pPr>
        <w:jc w:val="both"/>
        <w:rPr>
          <w:rFonts w:ascii="Arial" w:hAnsi="Arial" w:cs="Arial"/>
          <w:sz w:val="24"/>
          <w:szCs w:val="24"/>
          <w:lang w:val="en-MY"/>
        </w:rPr>
      </w:pPr>
      <w:r w:rsidRPr="0046129F">
        <w:rPr>
          <w:rFonts w:ascii="Arial" w:hAnsi="Arial" w:cs="Arial"/>
          <w:sz w:val="24"/>
          <w:szCs w:val="24"/>
          <w:lang w:val="en-MY"/>
        </w:rPr>
        <w:t>Physicochemical analyses, microbiological isolation, molecular characterisation, antimicrobial susceptibility testing, and multivariate statistical analyses were integrated to evaluate how farming system design and management practices influence aquatic environmental conditions and disease-associated risks. The results showed significant system-dependent variability in water quality parameters. Open-water systems, such as floating cages and earthen ponds, were strongly influenced by environmental exposure and climatic conditions, resulting in greater fluctuations in temperature, dissolved oxygen, turbidity, and nutrient concentrations. In contrast, tank-based systems provided better environmental control but exhibited nutrient accumulation associated with intensive feeding practices.</w:t>
      </w:r>
    </w:p>
    <w:p w14:paraId="30332AA3" w14:textId="77777777" w:rsidR="00FE53BF" w:rsidRPr="0046129F" w:rsidRDefault="00FE53BF" w:rsidP="00FE53BF">
      <w:pPr>
        <w:jc w:val="both"/>
        <w:rPr>
          <w:rFonts w:ascii="Arial" w:hAnsi="Arial" w:cs="Arial"/>
          <w:sz w:val="24"/>
          <w:szCs w:val="24"/>
          <w:lang w:val="en-MY"/>
        </w:rPr>
      </w:pPr>
      <w:r w:rsidRPr="0046129F">
        <w:rPr>
          <w:rFonts w:ascii="Arial" w:hAnsi="Arial" w:cs="Arial"/>
          <w:i/>
          <w:iCs/>
          <w:sz w:val="24"/>
          <w:szCs w:val="24"/>
          <w:lang w:val="en-MY"/>
        </w:rPr>
        <w:t>Aeromonas</w:t>
      </w:r>
      <w:r w:rsidRPr="0046129F">
        <w:rPr>
          <w:rFonts w:ascii="Arial" w:hAnsi="Arial" w:cs="Arial"/>
          <w:sz w:val="24"/>
          <w:szCs w:val="24"/>
          <w:lang w:val="en-MY"/>
        </w:rPr>
        <w:t xml:space="preserve"> species were isolated from all farming systems, with </w:t>
      </w:r>
      <w:r w:rsidRPr="0046129F">
        <w:rPr>
          <w:rFonts w:ascii="Arial" w:hAnsi="Arial" w:cs="Arial"/>
          <w:i/>
          <w:iCs/>
          <w:sz w:val="24"/>
          <w:szCs w:val="24"/>
          <w:lang w:val="en-MY"/>
        </w:rPr>
        <w:t>A. dhakensis</w:t>
      </w:r>
      <w:r w:rsidRPr="0046129F">
        <w:rPr>
          <w:rFonts w:ascii="Arial" w:hAnsi="Arial" w:cs="Arial"/>
          <w:sz w:val="24"/>
          <w:szCs w:val="24"/>
          <w:lang w:val="en-MY"/>
        </w:rPr>
        <w:t xml:space="preserve"> representing only a small proportion of the isolates but remaining ecologically and clinically important. Antimicrobial susceptibility testing revealed that multidrug resistance was relatively uncommon. Nonetheless, the high prevalence of intrinsic resistance to cefoxitin and the detection of carbapenem-resistant and multidrug-resistant strains underscored the need for continued surveillance.</w:t>
      </w:r>
    </w:p>
    <w:p w14:paraId="35F77F64" w14:textId="77777777" w:rsidR="00FE53BF" w:rsidRPr="0046129F" w:rsidRDefault="00FE53BF" w:rsidP="00FE53BF">
      <w:pPr>
        <w:jc w:val="both"/>
        <w:rPr>
          <w:rFonts w:ascii="Arial" w:hAnsi="Arial" w:cs="Arial"/>
          <w:sz w:val="24"/>
          <w:szCs w:val="24"/>
          <w:lang w:val="en-MY"/>
        </w:rPr>
      </w:pPr>
      <w:r w:rsidRPr="0046129F">
        <w:rPr>
          <w:rFonts w:ascii="Arial" w:hAnsi="Arial" w:cs="Arial"/>
          <w:sz w:val="24"/>
          <w:szCs w:val="24"/>
          <w:lang w:val="en-MY"/>
        </w:rPr>
        <w:t>Microbial community analysis revealed distinct differences in community composition, although alpha diversity did not differ significantly among farming systems. Proteobacteria dominated across all systems, while system-specific enrichment of taxa associated with nitrogen cycling, organic matter degradation, and environmental adaptability indicated the influence of physicochemical conditions on microbial community structure. Earthen ponds exhibited more balanced and heterogeneous microbial communities, resembling those of natural freshwater ecosystems, whereas tank-based and cage systems showed signatures of intensified management and nutrient loading.</w:t>
      </w:r>
    </w:p>
    <w:p w14:paraId="72DEE070" w14:textId="259AB58E" w:rsidR="00FE53BF" w:rsidRPr="0046129F" w:rsidRDefault="00FE53BF" w:rsidP="00FE53BF">
      <w:pPr>
        <w:jc w:val="both"/>
        <w:rPr>
          <w:rFonts w:ascii="Arial" w:hAnsi="Arial" w:cs="Arial"/>
          <w:sz w:val="24"/>
          <w:szCs w:val="24"/>
          <w:lang w:val="en-MY"/>
        </w:rPr>
      </w:pPr>
      <w:r w:rsidRPr="0046129F">
        <w:rPr>
          <w:rFonts w:ascii="Arial" w:hAnsi="Arial" w:cs="Arial"/>
          <w:sz w:val="24"/>
          <w:szCs w:val="24"/>
          <w:lang w:val="en-MY"/>
        </w:rPr>
        <w:t xml:space="preserve">Multivariate analyses revealed that key water quality parameters, specifically dissolved oxygen, turbidity, and nutrient concentrations, were closely correlated with microbial community composition and the prevalence of </w:t>
      </w:r>
      <w:r w:rsidRPr="0046129F">
        <w:rPr>
          <w:rFonts w:ascii="Arial" w:hAnsi="Arial" w:cs="Arial"/>
          <w:i/>
          <w:iCs/>
          <w:sz w:val="24"/>
          <w:szCs w:val="24"/>
          <w:lang w:val="en-MY"/>
        </w:rPr>
        <w:t>A. dhakensis</w:t>
      </w:r>
      <w:r w:rsidRPr="0046129F">
        <w:rPr>
          <w:rFonts w:ascii="Arial" w:hAnsi="Arial" w:cs="Arial"/>
          <w:sz w:val="24"/>
          <w:szCs w:val="24"/>
          <w:lang w:val="en-MY"/>
        </w:rPr>
        <w:t>. Overall, this study demonstrated that pathogen dynamics in freshwater aquaculture are shaped by complex interactions among environmental conditions, microbial communities, and management practices.</w:t>
      </w:r>
    </w:p>
    <w:p w14:paraId="43E4242C" w14:textId="6E3B6937" w:rsidR="00FE53BF" w:rsidRPr="0046129F" w:rsidRDefault="00FE53BF" w:rsidP="00273EA2">
      <w:pPr>
        <w:jc w:val="both"/>
        <w:rPr>
          <w:rFonts w:ascii="Arial" w:hAnsi="Arial" w:cs="Arial"/>
          <w:sz w:val="24"/>
          <w:szCs w:val="24"/>
          <w:lang w:val="en-MY"/>
        </w:rPr>
      </w:pPr>
      <w:r w:rsidRPr="0046129F">
        <w:rPr>
          <w:rFonts w:ascii="Arial" w:hAnsi="Arial" w:cs="Arial"/>
          <w:sz w:val="24"/>
          <w:szCs w:val="24"/>
          <w:lang w:val="en-MY"/>
        </w:rPr>
        <w:t>The findings emphasise the importance of integrated, system-specific management strategies that combine environmental monitoring, microbial community assessment, and prudent antimicrobial practices. Such strategies are essential for promoting sustainable aquaculture, protecting fish health, and reducing potential public health risks.</w:t>
      </w:r>
    </w:p>
    <w:sectPr w:rsidR="00FE53BF" w:rsidRPr="0046129F" w:rsidSect="00C7485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EA2"/>
    <w:rsid w:val="00046868"/>
    <w:rsid w:val="001847F1"/>
    <w:rsid w:val="00240477"/>
    <w:rsid w:val="00273EA2"/>
    <w:rsid w:val="00312A67"/>
    <w:rsid w:val="003A31AA"/>
    <w:rsid w:val="0046129F"/>
    <w:rsid w:val="00523AA8"/>
    <w:rsid w:val="006F67FB"/>
    <w:rsid w:val="00786912"/>
    <w:rsid w:val="008E44C8"/>
    <w:rsid w:val="00A26450"/>
    <w:rsid w:val="00BC6800"/>
    <w:rsid w:val="00C22021"/>
    <w:rsid w:val="00C464FE"/>
    <w:rsid w:val="00C74853"/>
    <w:rsid w:val="00F30C47"/>
    <w:rsid w:val="00F92479"/>
    <w:rsid w:val="00FE53BF"/>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F1804"/>
  <w15:chartTrackingRefBased/>
  <w15:docId w15:val="{85D10551-FCBD-4D09-BC69-4306526EE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MY"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73E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73E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73E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73E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73E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73E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3E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3E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3E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EA2"/>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273EA2"/>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273EA2"/>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273EA2"/>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273EA2"/>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273EA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73EA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73EA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73EA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73E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EA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73E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EA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73EA2"/>
    <w:pPr>
      <w:spacing w:before="160"/>
      <w:jc w:val="center"/>
    </w:pPr>
    <w:rPr>
      <w:i/>
      <w:iCs/>
      <w:color w:val="404040" w:themeColor="text1" w:themeTint="BF"/>
    </w:rPr>
  </w:style>
  <w:style w:type="character" w:customStyle="1" w:styleId="QuoteChar">
    <w:name w:val="Quote Char"/>
    <w:basedOn w:val="DefaultParagraphFont"/>
    <w:link w:val="Quote"/>
    <w:uiPriority w:val="29"/>
    <w:rsid w:val="00273EA2"/>
    <w:rPr>
      <w:i/>
      <w:iCs/>
      <w:color w:val="404040" w:themeColor="text1" w:themeTint="BF"/>
      <w:lang w:val="en-GB"/>
    </w:rPr>
  </w:style>
  <w:style w:type="paragraph" w:styleId="ListParagraph">
    <w:name w:val="List Paragraph"/>
    <w:basedOn w:val="Normal"/>
    <w:uiPriority w:val="34"/>
    <w:qFormat/>
    <w:rsid w:val="00273EA2"/>
    <w:pPr>
      <w:ind w:left="720"/>
      <w:contextualSpacing/>
    </w:pPr>
  </w:style>
  <w:style w:type="character" w:styleId="IntenseEmphasis">
    <w:name w:val="Intense Emphasis"/>
    <w:basedOn w:val="DefaultParagraphFont"/>
    <w:uiPriority w:val="21"/>
    <w:qFormat/>
    <w:rsid w:val="00273EA2"/>
    <w:rPr>
      <w:i/>
      <w:iCs/>
      <w:color w:val="2F5496" w:themeColor="accent1" w:themeShade="BF"/>
    </w:rPr>
  </w:style>
  <w:style w:type="paragraph" w:styleId="IntenseQuote">
    <w:name w:val="Intense Quote"/>
    <w:basedOn w:val="Normal"/>
    <w:next w:val="Normal"/>
    <w:link w:val="IntenseQuoteChar"/>
    <w:uiPriority w:val="30"/>
    <w:qFormat/>
    <w:rsid w:val="00273E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3EA2"/>
    <w:rPr>
      <w:i/>
      <w:iCs/>
      <w:color w:val="2F5496" w:themeColor="accent1" w:themeShade="BF"/>
      <w:lang w:val="en-GB"/>
    </w:rPr>
  </w:style>
  <w:style w:type="character" w:styleId="IntenseReference">
    <w:name w:val="Intense Reference"/>
    <w:basedOn w:val="DefaultParagraphFont"/>
    <w:uiPriority w:val="32"/>
    <w:qFormat/>
    <w:rsid w:val="00273EA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501</Words>
  <Characters>2861</Characters>
  <Application>Microsoft Office Word</Application>
  <DocSecurity>0</DocSecurity>
  <Lines>23</Lines>
  <Paragraphs>6</Paragraphs>
  <ScaleCrop>false</ScaleCrop>
  <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CHUA KEK HENG</dc:creator>
  <cp:keywords/>
  <dc:description/>
  <cp:lastModifiedBy>CHUA KEK HENG</cp:lastModifiedBy>
  <cp:revision>9</cp:revision>
  <dcterms:created xsi:type="dcterms:W3CDTF">2026-06-24T17:44:00Z</dcterms:created>
  <dcterms:modified xsi:type="dcterms:W3CDTF">2026-06-25T17:05:00Z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a156f051-0329-4f18-b715-a7070a8c5792</vt:lpwstr>
  </property>
</Properties>
</file>