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FB107" w14:textId="53BECF9F" w:rsidR="006A2AD1" w:rsidRPr="00377699" w:rsidRDefault="006A2AD1" w:rsidP="00377699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377699">
        <w:rPr>
          <w:rFonts w:ascii="Arial" w:hAnsi="Arial" w:cs="Arial"/>
          <w:b/>
          <w:bCs/>
          <w:sz w:val="28"/>
          <w:szCs w:val="28"/>
        </w:rPr>
        <w:t>Engineering Food Structures for Sustainable Food Systems</w:t>
      </w:r>
    </w:p>
    <w:p w14:paraId="5A009B96" w14:textId="77777777" w:rsidR="00377699" w:rsidRPr="00377699" w:rsidRDefault="00377699" w:rsidP="0037769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377699">
        <w:rPr>
          <w:rFonts w:ascii="Arial" w:hAnsi="Arial" w:cs="Arial"/>
          <w:b/>
          <w:bCs/>
          <w:sz w:val="22"/>
          <w:szCs w:val="22"/>
        </w:rPr>
        <w:t>Professor Cordelia Selomulya</w:t>
      </w:r>
    </w:p>
    <w:p w14:paraId="645DA86D" w14:textId="77777777" w:rsidR="00377699" w:rsidRPr="00377699" w:rsidRDefault="00377699" w:rsidP="0037769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377699">
        <w:rPr>
          <w:rFonts w:ascii="Arial" w:hAnsi="Arial" w:cs="Arial"/>
          <w:b/>
          <w:bCs/>
          <w:sz w:val="22"/>
          <w:szCs w:val="22"/>
        </w:rPr>
        <w:t>UNSW Sydney</w:t>
      </w:r>
    </w:p>
    <w:p w14:paraId="7A2A0138" w14:textId="77777777" w:rsidR="006A2AD1" w:rsidRPr="00377699" w:rsidRDefault="006A2AD1" w:rsidP="00377699">
      <w:pPr>
        <w:jc w:val="both"/>
        <w:rPr>
          <w:rFonts w:ascii="Arial" w:hAnsi="Arial" w:cs="Arial"/>
          <w:sz w:val="22"/>
          <w:szCs w:val="22"/>
        </w:rPr>
      </w:pPr>
    </w:p>
    <w:p w14:paraId="47B7BEED" w14:textId="2E3F3F18" w:rsidR="006A2AD1" w:rsidRPr="00377699" w:rsidRDefault="006A2AD1" w:rsidP="00377699">
      <w:pPr>
        <w:jc w:val="both"/>
        <w:rPr>
          <w:rFonts w:ascii="Arial" w:hAnsi="Arial" w:cs="Arial"/>
          <w:sz w:val="22"/>
          <w:szCs w:val="22"/>
        </w:rPr>
      </w:pPr>
      <w:r w:rsidRPr="00377699">
        <w:rPr>
          <w:rFonts w:ascii="Arial" w:hAnsi="Arial" w:cs="Arial"/>
          <w:sz w:val="22"/>
          <w:szCs w:val="22"/>
        </w:rPr>
        <w:t>Achieving sustainable food systems requires not only alternative ingredients, but also the ability to engineer structure and functionality that meet performance and consumer expectations. Plant</w:t>
      </w:r>
      <w:r w:rsidRPr="00377699">
        <w:rPr>
          <w:rFonts w:ascii="Cambria Math" w:hAnsi="Cambria Math" w:cs="Cambria Math"/>
          <w:sz w:val="22"/>
          <w:szCs w:val="22"/>
        </w:rPr>
        <w:t>‑</w:t>
      </w:r>
      <w:r w:rsidRPr="00377699">
        <w:rPr>
          <w:rFonts w:ascii="Arial" w:hAnsi="Arial" w:cs="Arial"/>
          <w:sz w:val="22"/>
          <w:szCs w:val="22"/>
        </w:rPr>
        <w:t>based materials offer significant potential</w:t>
      </w:r>
      <w:r w:rsidR="00377699" w:rsidRPr="00377699">
        <w:rPr>
          <w:rFonts w:ascii="Arial" w:hAnsi="Arial" w:cs="Arial"/>
          <w:sz w:val="22"/>
          <w:szCs w:val="22"/>
        </w:rPr>
        <w:t>,</w:t>
      </w:r>
      <w:r w:rsidRPr="00377699">
        <w:rPr>
          <w:rFonts w:ascii="Arial" w:hAnsi="Arial" w:cs="Arial"/>
          <w:sz w:val="22"/>
          <w:szCs w:val="22"/>
        </w:rPr>
        <w:t xml:space="preserve"> however, translating them into high</w:t>
      </w:r>
      <w:r w:rsidRPr="00377699">
        <w:rPr>
          <w:rFonts w:ascii="Cambria Math" w:hAnsi="Cambria Math" w:cs="Cambria Math"/>
          <w:sz w:val="22"/>
          <w:szCs w:val="22"/>
        </w:rPr>
        <w:t>‑</w:t>
      </w:r>
      <w:r w:rsidRPr="00377699">
        <w:rPr>
          <w:rFonts w:ascii="Arial" w:hAnsi="Arial" w:cs="Arial"/>
          <w:sz w:val="22"/>
          <w:szCs w:val="22"/>
        </w:rPr>
        <w:t>functioning food products remains a key scientific and technological challenge.</w:t>
      </w:r>
      <w:r w:rsidR="009853D6" w:rsidRPr="00377699">
        <w:rPr>
          <w:rFonts w:ascii="Arial" w:hAnsi="Arial" w:cs="Arial"/>
          <w:sz w:val="22"/>
          <w:szCs w:val="22"/>
          <w:vertAlign w:val="superscript"/>
        </w:rPr>
        <w:t>1</w:t>
      </w:r>
    </w:p>
    <w:p w14:paraId="6F246B0D" w14:textId="4452E2F8" w:rsidR="006A2AD1" w:rsidRPr="00377699" w:rsidRDefault="006A2AD1" w:rsidP="00377699">
      <w:pPr>
        <w:jc w:val="both"/>
        <w:rPr>
          <w:rFonts w:ascii="Arial" w:hAnsi="Arial" w:cs="Arial"/>
          <w:sz w:val="22"/>
          <w:szCs w:val="22"/>
        </w:rPr>
      </w:pPr>
      <w:r w:rsidRPr="00377699">
        <w:rPr>
          <w:rFonts w:ascii="Arial" w:hAnsi="Arial" w:cs="Arial"/>
          <w:sz w:val="22"/>
          <w:szCs w:val="22"/>
        </w:rPr>
        <w:t>This keynote presents a multiscale engineering framework linking molecular interactions to macroscopic functionality in future foods. Advances in protein and colloid engineering enable control of interfacial behaviour to stabilise emulsions,</w:t>
      </w:r>
      <w:r w:rsidR="009853D6" w:rsidRPr="00377699">
        <w:rPr>
          <w:rFonts w:ascii="Arial" w:hAnsi="Arial" w:cs="Arial"/>
          <w:sz w:val="22"/>
          <w:szCs w:val="22"/>
          <w:vertAlign w:val="superscript"/>
        </w:rPr>
        <w:t>2</w:t>
      </w:r>
      <w:r w:rsidR="009853D6" w:rsidRPr="00377699">
        <w:rPr>
          <w:rFonts w:ascii="Arial" w:hAnsi="Arial" w:cs="Arial"/>
          <w:sz w:val="22"/>
          <w:szCs w:val="22"/>
        </w:rPr>
        <w:t xml:space="preserve"> </w:t>
      </w:r>
      <w:r w:rsidRPr="00377699">
        <w:rPr>
          <w:rFonts w:ascii="Arial" w:hAnsi="Arial" w:cs="Arial"/>
          <w:sz w:val="22"/>
          <w:szCs w:val="22"/>
        </w:rPr>
        <w:t>enhance encapsulation of sensitive compounds,</w:t>
      </w:r>
      <w:r w:rsidR="009853D6" w:rsidRPr="00377699">
        <w:rPr>
          <w:rFonts w:ascii="Arial" w:hAnsi="Arial" w:cs="Arial"/>
          <w:sz w:val="22"/>
          <w:szCs w:val="22"/>
          <w:vertAlign w:val="superscript"/>
        </w:rPr>
        <w:t xml:space="preserve">3 </w:t>
      </w:r>
      <w:r w:rsidRPr="00377699">
        <w:rPr>
          <w:rFonts w:ascii="Arial" w:hAnsi="Arial" w:cs="Arial"/>
          <w:sz w:val="22"/>
          <w:szCs w:val="22"/>
        </w:rPr>
        <w:t>and improve physicochemical stability through tailored protein–phenolic interactions.</w:t>
      </w:r>
      <w:r w:rsidR="009853D6" w:rsidRPr="00377699">
        <w:rPr>
          <w:rFonts w:ascii="Arial" w:hAnsi="Arial" w:cs="Arial"/>
          <w:sz w:val="22"/>
          <w:szCs w:val="22"/>
          <w:vertAlign w:val="superscript"/>
        </w:rPr>
        <w:t>4</w:t>
      </w:r>
      <w:r w:rsidRPr="00377699">
        <w:rPr>
          <w:rFonts w:ascii="Arial" w:hAnsi="Arial" w:cs="Arial"/>
          <w:sz w:val="22"/>
          <w:szCs w:val="22"/>
        </w:rPr>
        <w:t xml:space="preserve"> These approaches support robust and efficient food formulations during processing and storage. </w:t>
      </w:r>
    </w:p>
    <w:p w14:paraId="632BD392" w14:textId="2E0B7099" w:rsidR="006A2AD1" w:rsidRPr="00377699" w:rsidRDefault="006A2AD1" w:rsidP="00377699">
      <w:pPr>
        <w:jc w:val="both"/>
        <w:rPr>
          <w:rFonts w:ascii="Arial" w:hAnsi="Arial" w:cs="Arial"/>
          <w:sz w:val="22"/>
          <w:szCs w:val="22"/>
        </w:rPr>
      </w:pPr>
      <w:r w:rsidRPr="00377699">
        <w:rPr>
          <w:rFonts w:ascii="Arial" w:hAnsi="Arial" w:cs="Arial"/>
          <w:sz w:val="22"/>
          <w:szCs w:val="22"/>
        </w:rPr>
        <w:t>At the product level, structured emulsion gels integrated within dual</w:t>
      </w:r>
      <w:r w:rsidRPr="00377699">
        <w:rPr>
          <w:rFonts w:ascii="Cambria Math" w:hAnsi="Cambria Math" w:cs="Cambria Math"/>
          <w:sz w:val="22"/>
          <w:szCs w:val="22"/>
        </w:rPr>
        <w:t>‑</w:t>
      </w:r>
      <w:r w:rsidRPr="00377699">
        <w:rPr>
          <w:rFonts w:ascii="Arial" w:hAnsi="Arial" w:cs="Arial"/>
          <w:sz w:val="22"/>
          <w:szCs w:val="22"/>
        </w:rPr>
        <w:t>network matrices provide programmable thermal and mechanical properties.</w:t>
      </w:r>
      <w:r w:rsidR="009853D6" w:rsidRPr="00377699">
        <w:rPr>
          <w:rFonts w:ascii="Arial" w:hAnsi="Arial" w:cs="Arial"/>
          <w:sz w:val="22"/>
          <w:szCs w:val="22"/>
          <w:vertAlign w:val="superscript"/>
        </w:rPr>
        <w:t>5</w:t>
      </w:r>
      <w:r w:rsidRPr="00377699">
        <w:rPr>
          <w:rFonts w:ascii="Arial" w:hAnsi="Arial" w:cs="Arial"/>
          <w:sz w:val="22"/>
          <w:szCs w:val="22"/>
        </w:rPr>
        <w:t xml:space="preserve"> Such systems can reproduce the melting, texture, and stability of conventional foods, enabling the development of high</w:t>
      </w:r>
      <w:r w:rsidRPr="00377699">
        <w:rPr>
          <w:rFonts w:ascii="Cambria Math" w:hAnsi="Cambria Math" w:cs="Cambria Math"/>
          <w:sz w:val="22"/>
          <w:szCs w:val="22"/>
        </w:rPr>
        <w:t>‑</w:t>
      </w:r>
      <w:r w:rsidRPr="00377699">
        <w:rPr>
          <w:rFonts w:ascii="Arial" w:hAnsi="Arial" w:cs="Arial"/>
          <w:sz w:val="22"/>
          <w:szCs w:val="22"/>
        </w:rPr>
        <w:t>performance plant</w:t>
      </w:r>
      <w:r w:rsidRPr="00377699">
        <w:rPr>
          <w:rFonts w:ascii="Cambria Math" w:hAnsi="Cambria Math" w:cs="Cambria Math"/>
          <w:sz w:val="22"/>
          <w:szCs w:val="22"/>
        </w:rPr>
        <w:t>‑</w:t>
      </w:r>
      <w:r w:rsidRPr="00377699">
        <w:rPr>
          <w:rFonts w:ascii="Arial" w:hAnsi="Arial" w:cs="Arial"/>
          <w:sz w:val="22"/>
          <w:szCs w:val="22"/>
        </w:rPr>
        <w:t>based analogues.</w:t>
      </w:r>
      <w:r w:rsidR="00377699" w:rsidRPr="00377699">
        <w:rPr>
          <w:rFonts w:ascii="Arial" w:hAnsi="Arial" w:cs="Arial"/>
          <w:sz w:val="22"/>
          <w:szCs w:val="22"/>
          <w:vertAlign w:val="superscript"/>
        </w:rPr>
        <w:t>6-7</w:t>
      </w:r>
      <w:r w:rsidRPr="00377699">
        <w:rPr>
          <w:rFonts w:ascii="Arial" w:hAnsi="Arial" w:cs="Arial"/>
          <w:sz w:val="22"/>
          <w:szCs w:val="22"/>
        </w:rPr>
        <w:t xml:space="preserve"> </w:t>
      </w:r>
    </w:p>
    <w:p w14:paraId="497327DD" w14:textId="07EB5A6D" w:rsidR="009853D6" w:rsidRPr="00377699" w:rsidRDefault="006A2AD1" w:rsidP="00377699">
      <w:pPr>
        <w:jc w:val="both"/>
        <w:rPr>
          <w:rFonts w:ascii="Arial" w:hAnsi="Arial" w:cs="Arial"/>
          <w:sz w:val="22"/>
          <w:szCs w:val="22"/>
        </w:rPr>
      </w:pPr>
      <w:r w:rsidRPr="00377699">
        <w:rPr>
          <w:rFonts w:ascii="Arial" w:hAnsi="Arial" w:cs="Arial"/>
          <w:sz w:val="22"/>
          <w:szCs w:val="22"/>
        </w:rPr>
        <w:t>By integrating materials design, advanced characterisation, and scalable processing strategies, this work demonstrates how engineered food structures can accelerate innovation in sustainable food systems. This approach provides a pathway to develop functional, resource</w:t>
      </w:r>
      <w:r w:rsidRPr="00377699">
        <w:rPr>
          <w:rFonts w:ascii="Cambria Math" w:hAnsi="Cambria Math" w:cs="Cambria Math"/>
          <w:sz w:val="22"/>
          <w:szCs w:val="22"/>
        </w:rPr>
        <w:t>‑</w:t>
      </w:r>
      <w:r w:rsidRPr="00377699">
        <w:rPr>
          <w:rFonts w:ascii="Arial" w:hAnsi="Arial" w:cs="Arial"/>
          <w:sz w:val="22"/>
          <w:szCs w:val="22"/>
        </w:rPr>
        <w:t>efficient, and scalable food solutions to support future global demand.</w:t>
      </w:r>
    </w:p>
    <w:p w14:paraId="319436FF" w14:textId="77777777" w:rsidR="009853D6" w:rsidRPr="00377699" w:rsidRDefault="009853D6" w:rsidP="00377699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377699">
        <w:rPr>
          <w:rFonts w:ascii="Arial" w:hAnsi="Arial" w:cs="Arial"/>
          <w:b/>
          <w:bCs/>
          <w:sz w:val="22"/>
          <w:szCs w:val="22"/>
        </w:rPr>
        <w:t xml:space="preserve">References </w:t>
      </w:r>
    </w:p>
    <w:p w14:paraId="22B4C6CF" w14:textId="0C3BC746" w:rsidR="009853D6" w:rsidRPr="00377699" w:rsidRDefault="009853D6" w:rsidP="0037769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77699">
        <w:rPr>
          <w:rFonts w:ascii="Arial" w:hAnsi="Arial" w:cs="Arial"/>
          <w:sz w:val="22"/>
          <w:szCs w:val="22"/>
        </w:rPr>
        <w:t>Kim W</w:t>
      </w:r>
      <w:r w:rsidRPr="00377699">
        <w:rPr>
          <w:rFonts w:ascii="Arial" w:hAnsi="Arial" w:cs="Arial"/>
          <w:sz w:val="22"/>
          <w:szCs w:val="22"/>
        </w:rPr>
        <w:t>.,</w:t>
      </w:r>
      <w:r w:rsidRPr="00377699">
        <w:rPr>
          <w:rFonts w:ascii="Arial" w:hAnsi="Arial" w:cs="Arial"/>
          <w:sz w:val="22"/>
          <w:szCs w:val="22"/>
        </w:rPr>
        <w:t xml:space="preserve"> Yiu, C. C.-Y., Wang, Y., </w:t>
      </w:r>
      <w:r w:rsidRPr="00377699">
        <w:rPr>
          <w:rFonts w:ascii="Arial" w:hAnsi="Arial" w:cs="Arial"/>
          <w:sz w:val="22"/>
          <w:szCs w:val="22"/>
        </w:rPr>
        <w:t xml:space="preserve">Zhou, W., </w:t>
      </w:r>
      <w:r w:rsidRPr="00377699">
        <w:rPr>
          <w:rFonts w:ascii="Arial" w:hAnsi="Arial" w:cs="Arial"/>
          <w:sz w:val="22"/>
          <w:szCs w:val="22"/>
        </w:rPr>
        <w:t>Selomulya, C.</w:t>
      </w:r>
      <w:r w:rsidRPr="00377699">
        <w:rPr>
          <w:rFonts w:ascii="Arial" w:hAnsi="Arial" w:cs="Arial"/>
          <w:sz w:val="22"/>
          <w:szCs w:val="22"/>
        </w:rPr>
        <w:t xml:space="preserve"> (</w:t>
      </w:r>
      <w:r w:rsidRPr="00377699">
        <w:rPr>
          <w:rFonts w:ascii="Arial" w:hAnsi="Arial" w:cs="Arial"/>
          <w:sz w:val="22"/>
          <w:szCs w:val="22"/>
        </w:rPr>
        <w:t>2024</w:t>
      </w:r>
      <w:r w:rsidRPr="00377699">
        <w:rPr>
          <w:rFonts w:ascii="Arial" w:hAnsi="Arial" w:cs="Arial"/>
          <w:sz w:val="22"/>
          <w:szCs w:val="22"/>
        </w:rPr>
        <w:t>).</w:t>
      </w:r>
      <w:r w:rsidRPr="00377699">
        <w:rPr>
          <w:rFonts w:ascii="Arial" w:hAnsi="Arial" w:cs="Arial"/>
          <w:sz w:val="22"/>
          <w:szCs w:val="22"/>
        </w:rPr>
        <w:t xml:space="preserve"> Toward Diverse Plant Proteins for Food Innovation</w:t>
      </w:r>
      <w:r w:rsidRPr="00377699">
        <w:rPr>
          <w:rFonts w:ascii="Arial" w:hAnsi="Arial" w:cs="Arial"/>
          <w:sz w:val="22"/>
          <w:szCs w:val="22"/>
        </w:rPr>
        <w:t xml:space="preserve">. </w:t>
      </w:r>
      <w:r w:rsidRPr="00377699">
        <w:rPr>
          <w:rFonts w:ascii="Arial" w:hAnsi="Arial" w:cs="Arial"/>
          <w:i/>
          <w:iCs/>
          <w:sz w:val="22"/>
          <w:szCs w:val="22"/>
        </w:rPr>
        <w:t>Advanced Science</w:t>
      </w:r>
      <w:r w:rsidRPr="00377699">
        <w:rPr>
          <w:rFonts w:ascii="Arial" w:hAnsi="Arial" w:cs="Arial"/>
          <w:sz w:val="22"/>
          <w:szCs w:val="22"/>
        </w:rPr>
        <w:t>, 11, 2408150</w:t>
      </w:r>
      <w:r w:rsidRPr="00377699">
        <w:rPr>
          <w:rFonts w:ascii="Arial" w:hAnsi="Arial" w:cs="Arial"/>
          <w:sz w:val="22"/>
          <w:szCs w:val="22"/>
        </w:rPr>
        <w:t xml:space="preserve">. </w:t>
      </w:r>
    </w:p>
    <w:p w14:paraId="7BF818A8" w14:textId="77777777" w:rsidR="009853D6" w:rsidRPr="00377699" w:rsidRDefault="009853D6" w:rsidP="0037769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77699">
        <w:rPr>
          <w:rFonts w:ascii="Arial" w:hAnsi="Arial" w:cs="Arial"/>
          <w:sz w:val="22"/>
          <w:szCs w:val="22"/>
        </w:rPr>
        <w:t>Kim. W., Wang, Y. Selomulya, C.</w:t>
      </w:r>
      <w:r w:rsidRPr="00377699">
        <w:rPr>
          <w:rFonts w:ascii="Arial" w:hAnsi="Arial" w:cs="Arial"/>
          <w:sz w:val="22"/>
          <w:szCs w:val="22"/>
        </w:rPr>
        <w:t xml:space="preserve"> (2025). </w:t>
      </w:r>
      <w:r w:rsidRPr="00377699">
        <w:rPr>
          <w:rFonts w:ascii="Arial" w:hAnsi="Arial" w:cs="Arial"/>
          <w:sz w:val="22"/>
          <w:szCs w:val="22"/>
        </w:rPr>
        <w:t>Exploring the relationship between physicochemical stability and interfacial properties in pea/whey protein blend-</w:t>
      </w:r>
      <w:r w:rsidRPr="00377699">
        <w:rPr>
          <w:rFonts w:ascii="Arial" w:hAnsi="Arial" w:cs="Arial"/>
          <w:sz w:val="22"/>
          <w:szCs w:val="22"/>
        </w:rPr>
        <w:t>s</w:t>
      </w:r>
      <w:r w:rsidRPr="00377699">
        <w:rPr>
          <w:rFonts w:ascii="Arial" w:hAnsi="Arial" w:cs="Arial"/>
          <w:sz w:val="22"/>
          <w:szCs w:val="22"/>
        </w:rPr>
        <w:t>tabilised emulsions</w:t>
      </w:r>
      <w:r w:rsidRPr="00377699">
        <w:rPr>
          <w:rFonts w:ascii="Arial" w:hAnsi="Arial" w:cs="Arial"/>
          <w:sz w:val="22"/>
          <w:szCs w:val="22"/>
        </w:rPr>
        <w:t xml:space="preserve">. </w:t>
      </w:r>
      <w:r w:rsidRPr="00377699">
        <w:rPr>
          <w:rFonts w:ascii="Arial" w:hAnsi="Arial" w:cs="Arial"/>
          <w:i/>
          <w:iCs/>
          <w:sz w:val="22"/>
          <w:szCs w:val="22"/>
        </w:rPr>
        <w:t>Food Hydrocolloids</w:t>
      </w:r>
      <w:r w:rsidRPr="00377699">
        <w:rPr>
          <w:rFonts w:ascii="Arial" w:hAnsi="Arial" w:cs="Arial"/>
          <w:sz w:val="22"/>
          <w:szCs w:val="22"/>
        </w:rPr>
        <w:t>,</w:t>
      </w:r>
      <w:r w:rsidRPr="00377699">
        <w:rPr>
          <w:rFonts w:ascii="Arial" w:hAnsi="Arial" w:cs="Arial"/>
          <w:sz w:val="22"/>
          <w:szCs w:val="22"/>
        </w:rPr>
        <w:t xml:space="preserve"> 169, 111622.</w:t>
      </w:r>
      <w:r w:rsidRPr="00377699">
        <w:rPr>
          <w:rFonts w:ascii="Arial" w:hAnsi="Arial" w:cs="Arial"/>
          <w:sz w:val="22"/>
          <w:szCs w:val="22"/>
        </w:rPr>
        <w:tab/>
      </w:r>
    </w:p>
    <w:p w14:paraId="44ADCFEA" w14:textId="77777777" w:rsidR="009853D6" w:rsidRPr="00377699" w:rsidRDefault="009853D6" w:rsidP="0037769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77699">
        <w:rPr>
          <w:rFonts w:ascii="Arial" w:hAnsi="Arial" w:cs="Arial"/>
          <w:sz w:val="22"/>
          <w:szCs w:val="22"/>
        </w:rPr>
        <w:t xml:space="preserve">Kim, W., Wang, Y., </w:t>
      </w:r>
      <w:proofErr w:type="spellStart"/>
      <w:r w:rsidRPr="00377699">
        <w:rPr>
          <w:rFonts w:ascii="Arial" w:hAnsi="Arial" w:cs="Arial"/>
          <w:sz w:val="22"/>
          <w:szCs w:val="22"/>
        </w:rPr>
        <w:t>Vongsvivut</w:t>
      </w:r>
      <w:proofErr w:type="spellEnd"/>
      <w:r w:rsidRPr="00377699">
        <w:rPr>
          <w:rFonts w:ascii="Arial" w:hAnsi="Arial" w:cs="Arial"/>
          <w:sz w:val="22"/>
          <w:szCs w:val="22"/>
        </w:rPr>
        <w:t>, J., Ye, Q., Selomulya, C.</w:t>
      </w:r>
      <w:r w:rsidRPr="00377699">
        <w:rPr>
          <w:rFonts w:ascii="Arial" w:hAnsi="Arial" w:cs="Arial"/>
          <w:sz w:val="22"/>
          <w:szCs w:val="22"/>
        </w:rPr>
        <w:t xml:space="preserve"> (2023). </w:t>
      </w:r>
      <w:r w:rsidRPr="00377699">
        <w:rPr>
          <w:rFonts w:ascii="Arial" w:hAnsi="Arial" w:cs="Arial"/>
          <w:sz w:val="22"/>
          <w:szCs w:val="22"/>
        </w:rPr>
        <w:t xml:space="preserve">On surface composition and stability of β-carotene microcapsules comprising pea/whey protein complexes by synchrotron-FTIR </w:t>
      </w:r>
      <w:proofErr w:type="spellStart"/>
      <w:r w:rsidRPr="00377699">
        <w:rPr>
          <w:rFonts w:ascii="Arial" w:hAnsi="Arial" w:cs="Arial"/>
          <w:sz w:val="22"/>
          <w:szCs w:val="22"/>
        </w:rPr>
        <w:t>microspectroscopy</w:t>
      </w:r>
      <w:proofErr w:type="spellEnd"/>
      <w:r w:rsidRPr="00377699">
        <w:rPr>
          <w:rFonts w:ascii="Arial" w:hAnsi="Arial" w:cs="Arial"/>
          <w:sz w:val="22"/>
          <w:szCs w:val="22"/>
        </w:rPr>
        <w:t xml:space="preserve">. </w:t>
      </w:r>
      <w:r w:rsidRPr="00377699">
        <w:rPr>
          <w:rFonts w:ascii="Arial" w:hAnsi="Arial" w:cs="Arial"/>
          <w:i/>
          <w:iCs/>
          <w:sz w:val="22"/>
          <w:szCs w:val="22"/>
        </w:rPr>
        <w:t>Food Chemistry</w:t>
      </w:r>
      <w:r w:rsidRPr="00377699">
        <w:rPr>
          <w:rFonts w:ascii="Arial" w:hAnsi="Arial" w:cs="Arial"/>
          <w:sz w:val="22"/>
          <w:szCs w:val="22"/>
        </w:rPr>
        <w:t>, 426, 136565.</w:t>
      </w:r>
    </w:p>
    <w:p w14:paraId="15825711" w14:textId="77777777" w:rsidR="009853D6" w:rsidRPr="00377699" w:rsidRDefault="009853D6" w:rsidP="0037769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77699">
        <w:rPr>
          <w:rFonts w:ascii="Arial" w:hAnsi="Arial" w:cs="Arial"/>
          <w:sz w:val="22"/>
          <w:szCs w:val="22"/>
        </w:rPr>
        <w:t>Kim, W., Zia, M., Naik, R., Ho, K., Selomulya, C.</w:t>
      </w:r>
      <w:r w:rsidRPr="00377699">
        <w:rPr>
          <w:rFonts w:ascii="Arial" w:hAnsi="Arial" w:cs="Arial"/>
          <w:sz w:val="22"/>
          <w:szCs w:val="22"/>
        </w:rPr>
        <w:t xml:space="preserve"> (2025). </w:t>
      </w:r>
      <w:r w:rsidRPr="00377699">
        <w:rPr>
          <w:rFonts w:ascii="Arial" w:hAnsi="Arial" w:cs="Arial"/>
          <w:sz w:val="22"/>
          <w:szCs w:val="22"/>
        </w:rPr>
        <w:t xml:space="preserve">Effects of polyphenols from </w:t>
      </w:r>
      <w:proofErr w:type="spellStart"/>
      <w:r w:rsidRPr="00377699">
        <w:rPr>
          <w:rFonts w:ascii="Arial" w:hAnsi="Arial" w:cs="Arial"/>
          <w:sz w:val="22"/>
          <w:szCs w:val="22"/>
        </w:rPr>
        <w:t>Tasmannia</w:t>
      </w:r>
      <w:proofErr w:type="spellEnd"/>
      <w:r w:rsidRPr="00377699">
        <w:rPr>
          <w:rFonts w:ascii="Arial" w:hAnsi="Arial" w:cs="Arial"/>
          <w:sz w:val="22"/>
          <w:szCs w:val="22"/>
        </w:rPr>
        <w:t xml:space="preserve"> lanceolata on structural, emulsifying, and antioxidant properties of pea protei</w:t>
      </w:r>
      <w:r w:rsidRPr="00377699">
        <w:rPr>
          <w:rFonts w:ascii="Arial" w:hAnsi="Arial" w:cs="Arial"/>
          <w:sz w:val="22"/>
          <w:szCs w:val="22"/>
        </w:rPr>
        <w:t>n.</w:t>
      </w:r>
      <w:r w:rsidRPr="00377699">
        <w:rPr>
          <w:rFonts w:ascii="Arial" w:hAnsi="Arial" w:cs="Arial"/>
          <w:sz w:val="22"/>
          <w:szCs w:val="22"/>
        </w:rPr>
        <w:t xml:space="preserve"> </w:t>
      </w:r>
      <w:r w:rsidRPr="00377699">
        <w:rPr>
          <w:rFonts w:ascii="Arial" w:hAnsi="Arial" w:cs="Arial"/>
          <w:i/>
          <w:iCs/>
          <w:sz w:val="22"/>
          <w:szCs w:val="22"/>
        </w:rPr>
        <w:t>Food Chemistry</w:t>
      </w:r>
      <w:r w:rsidRPr="00377699">
        <w:rPr>
          <w:rFonts w:ascii="Arial" w:hAnsi="Arial" w:cs="Arial"/>
          <w:sz w:val="22"/>
          <w:szCs w:val="22"/>
        </w:rPr>
        <w:t>, 464(1), 141589.</w:t>
      </w:r>
      <w:r w:rsidRPr="00377699">
        <w:rPr>
          <w:rFonts w:ascii="Arial" w:hAnsi="Arial" w:cs="Arial"/>
          <w:sz w:val="22"/>
          <w:szCs w:val="22"/>
        </w:rPr>
        <w:t xml:space="preserve"> </w:t>
      </w:r>
    </w:p>
    <w:p w14:paraId="01607319" w14:textId="77777777" w:rsidR="00377699" w:rsidRPr="00377699" w:rsidRDefault="009853D6" w:rsidP="0037769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77699">
        <w:rPr>
          <w:rFonts w:ascii="Arial" w:hAnsi="Arial" w:cs="Arial"/>
          <w:sz w:val="22"/>
          <w:szCs w:val="22"/>
        </w:rPr>
        <w:t xml:space="preserve">Yiu, C. C.-Y., Wang, Y., &amp; Selomulya, C. (2025). Double network as a design paradigm for structuring emulsion gels in food. </w:t>
      </w:r>
      <w:r w:rsidRPr="00377699">
        <w:rPr>
          <w:rFonts w:ascii="Arial" w:hAnsi="Arial" w:cs="Arial"/>
          <w:i/>
          <w:iCs/>
          <w:sz w:val="22"/>
          <w:szCs w:val="22"/>
        </w:rPr>
        <w:t>Comprehensive Reviews in Food Science and Food Safety</w:t>
      </w:r>
      <w:r w:rsidRPr="00377699">
        <w:rPr>
          <w:rFonts w:ascii="Arial" w:hAnsi="Arial" w:cs="Arial"/>
          <w:sz w:val="22"/>
          <w:szCs w:val="22"/>
        </w:rPr>
        <w:t>, 24(3), e70201.</w:t>
      </w:r>
    </w:p>
    <w:p w14:paraId="16EA2945" w14:textId="77777777" w:rsidR="00377699" w:rsidRPr="00377699" w:rsidRDefault="009853D6" w:rsidP="0037769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77699">
        <w:rPr>
          <w:rFonts w:ascii="Arial" w:hAnsi="Arial" w:cs="Arial"/>
          <w:sz w:val="22"/>
          <w:szCs w:val="22"/>
        </w:rPr>
        <w:t xml:space="preserve">Wang, Y., Yiu, C. C.-Y., Kim, W., </w:t>
      </w:r>
      <w:proofErr w:type="spellStart"/>
      <w:r w:rsidRPr="00377699">
        <w:rPr>
          <w:rFonts w:ascii="Arial" w:hAnsi="Arial" w:cs="Arial"/>
          <w:sz w:val="22"/>
          <w:szCs w:val="22"/>
        </w:rPr>
        <w:t>Vongsvivut</w:t>
      </w:r>
      <w:proofErr w:type="spellEnd"/>
      <w:r w:rsidRPr="00377699">
        <w:rPr>
          <w:rFonts w:ascii="Arial" w:hAnsi="Arial" w:cs="Arial"/>
          <w:sz w:val="22"/>
          <w:szCs w:val="22"/>
        </w:rPr>
        <w:t>, J.,</w:t>
      </w:r>
      <w:r w:rsidRPr="00377699">
        <w:rPr>
          <w:rFonts w:ascii="Arial" w:hAnsi="Arial" w:cs="Arial"/>
          <w:sz w:val="22"/>
          <w:szCs w:val="22"/>
        </w:rPr>
        <w:t xml:space="preserve"> </w:t>
      </w:r>
      <w:r w:rsidRPr="00377699">
        <w:rPr>
          <w:rFonts w:ascii="Arial" w:hAnsi="Arial" w:cs="Arial"/>
          <w:sz w:val="22"/>
          <w:szCs w:val="22"/>
        </w:rPr>
        <w:t>Zhou, W., &amp; Selomulya, C. (2026).</w:t>
      </w:r>
      <w:r w:rsidRPr="00377699">
        <w:rPr>
          <w:rFonts w:ascii="Arial" w:hAnsi="Arial" w:cs="Arial"/>
          <w:sz w:val="22"/>
          <w:szCs w:val="22"/>
        </w:rPr>
        <w:t xml:space="preserve"> </w:t>
      </w:r>
      <w:r w:rsidRPr="00377699">
        <w:rPr>
          <w:rFonts w:ascii="Arial" w:hAnsi="Arial" w:cs="Arial"/>
          <w:sz w:val="22"/>
          <w:szCs w:val="22"/>
        </w:rPr>
        <w:t>Emulsion gels of oil encapsulated in double polysaccharide networks as animal fat analogues.</w:t>
      </w:r>
      <w:r w:rsidRPr="00377699">
        <w:rPr>
          <w:rFonts w:ascii="Arial" w:hAnsi="Arial" w:cs="Arial"/>
          <w:sz w:val="22"/>
          <w:szCs w:val="22"/>
        </w:rPr>
        <w:t xml:space="preserve"> </w:t>
      </w:r>
      <w:r w:rsidRPr="00377699">
        <w:rPr>
          <w:rFonts w:ascii="Arial" w:hAnsi="Arial" w:cs="Arial"/>
          <w:i/>
          <w:iCs/>
          <w:sz w:val="22"/>
          <w:szCs w:val="22"/>
        </w:rPr>
        <w:t>Food Hydrocolloids</w:t>
      </w:r>
      <w:r w:rsidRPr="00377699">
        <w:rPr>
          <w:rFonts w:ascii="Arial" w:hAnsi="Arial" w:cs="Arial"/>
          <w:sz w:val="22"/>
          <w:szCs w:val="22"/>
        </w:rPr>
        <w:t>, 171, 111807.</w:t>
      </w:r>
    </w:p>
    <w:p w14:paraId="7074B9E1" w14:textId="6EFA6463" w:rsidR="009853D6" w:rsidRPr="00377699" w:rsidRDefault="009853D6" w:rsidP="0037769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77699">
        <w:rPr>
          <w:rFonts w:ascii="Arial" w:hAnsi="Arial" w:cs="Arial"/>
          <w:sz w:val="22"/>
          <w:szCs w:val="22"/>
        </w:rPr>
        <w:t xml:space="preserve">Yiu, C. C.-Y., Kim, W., Gunawan, I. C., </w:t>
      </w:r>
      <w:proofErr w:type="spellStart"/>
      <w:r w:rsidRPr="00377699">
        <w:rPr>
          <w:rFonts w:ascii="Arial" w:hAnsi="Arial" w:cs="Arial"/>
          <w:sz w:val="22"/>
          <w:szCs w:val="22"/>
        </w:rPr>
        <w:t>Vongsvivut</w:t>
      </w:r>
      <w:proofErr w:type="spellEnd"/>
      <w:r w:rsidRPr="00377699">
        <w:rPr>
          <w:rFonts w:ascii="Arial" w:hAnsi="Arial" w:cs="Arial"/>
          <w:sz w:val="22"/>
          <w:szCs w:val="22"/>
        </w:rPr>
        <w:t>, J., Wang, Y., &amp; Selomulya, C. (2026). A</w:t>
      </w:r>
      <w:r w:rsidRPr="00377699">
        <w:rPr>
          <w:rFonts w:ascii="Arial" w:hAnsi="Arial" w:cs="Arial"/>
          <w:sz w:val="22"/>
          <w:szCs w:val="22"/>
        </w:rPr>
        <w:t xml:space="preserve"> </w:t>
      </w:r>
      <w:r w:rsidRPr="00377699">
        <w:rPr>
          <w:rFonts w:ascii="Arial" w:hAnsi="Arial" w:cs="Arial"/>
          <w:sz w:val="22"/>
          <w:szCs w:val="22"/>
        </w:rPr>
        <w:t xml:space="preserve">dual polysaccharide and plant protein system for cheese </w:t>
      </w:r>
      <w:proofErr w:type="spellStart"/>
      <w:r w:rsidRPr="00377699">
        <w:rPr>
          <w:rFonts w:ascii="Arial" w:hAnsi="Arial" w:cs="Arial"/>
          <w:sz w:val="22"/>
          <w:szCs w:val="22"/>
        </w:rPr>
        <w:t>analog</w:t>
      </w:r>
      <w:proofErr w:type="spellEnd"/>
      <w:r w:rsidRPr="00377699">
        <w:rPr>
          <w:rFonts w:ascii="Arial" w:hAnsi="Arial" w:cs="Arial"/>
          <w:sz w:val="22"/>
          <w:szCs w:val="22"/>
        </w:rPr>
        <w:t xml:space="preserve"> with enhanced meltability and texture. </w:t>
      </w:r>
      <w:r w:rsidRPr="00377699">
        <w:rPr>
          <w:rFonts w:ascii="Arial" w:hAnsi="Arial" w:cs="Arial"/>
          <w:i/>
          <w:iCs/>
          <w:sz w:val="22"/>
          <w:szCs w:val="22"/>
        </w:rPr>
        <w:t>Food Hydrocolloids</w:t>
      </w:r>
      <w:r w:rsidRPr="00377699">
        <w:rPr>
          <w:rFonts w:ascii="Arial" w:hAnsi="Arial" w:cs="Arial"/>
          <w:sz w:val="22"/>
          <w:szCs w:val="22"/>
        </w:rPr>
        <w:t>, 171,</w:t>
      </w:r>
      <w:r w:rsidRPr="00377699">
        <w:rPr>
          <w:rFonts w:ascii="Arial" w:hAnsi="Arial" w:cs="Arial"/>
          <w:sz w:val="22"/>
          <w:szCs w:val="22"/>
        </w:rPr>
        <w:t xml:space="preserve"> </w:t>
      </w:r>
      <w:r w:rsidRPr="00377699">
        <w:rPr>
          <w:rFonts w:ascii="Arial" w:hAnsi="Arial" w:cs="Arial"/>
          <w:sz w:val="22"/>
          <w:szCs w:val="22"/>
        </w:rPr>
        <w:t>111850.</w:t>
      </w:r>
    </w:p>
    <w:sectPr w:rsidR="009853D6" w:rsidRPr="003776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571870"/>
    <w:multiLevelType w:val="hybridMultilevel"/>
    <w:tmpl w:val="61C6591E"/>
    <w:lvl w:ilvl="0" w:tplc="B4CC7E5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5454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AD1"/>
    <w:rsid w:val="00377699"/>
    <w:rsid w:val="00392D09"/>
    <w:rsid w:val="006A2AD1"/>
    <w:rsid w:val="0098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665D75"/>
  <w15:chartTrackingRefBased/>
  <w15:docId w15:val="{83B07928-BDA4-E644-A1F5-F63694CE5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2A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2A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2A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2A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2A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2A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2A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2A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2A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2A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2A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2A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2A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2A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2A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2A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2A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2A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2A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2A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2A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2A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2A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2A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2A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2A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A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A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2A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394</Words>
  <Characters>2626</Characters>
  <Application>Microsoft Office Word</Application>
  <DocSecurity>0</DocSecurity>
  <Lines>36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Cordelia Selomulya</dc:creator>
  <cp:keywords/>
  <dc:description/>
  <cp:lastModifiedBy>Cordelia Selomulya</cp:lastModifiedBy>
  <cp:revision>2</cp:revision>
  <dcterms:created xsi:type="dcterms:W3CDTF">2026-05-07T02:23:00Z</dcterms:created>
  <dcterms:modified xsi:type="dcterms:W3CDTF">2026-05-07T02:53:00Z</dcterms:modified>
</cp:coreProperties>
</file>