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0B436" w14:textId="12CECAEA" w:rsidR="00057460" w:rsidRPr="00057460" w:rsidRDefault="00057460" w:rsidP="00057460">
      <w:r w:rsidRPr="00057460">
        <w:rPr>
          <w:b/>
          <w:bCs/>
        </w:rPr>
        <w:t>Tracing Foodborne Antimicrobial Resistance in the Genomic Era: A One Health Journey from Pets and Wildlife</w:t>
      </w:r>
      <w:r w:rsidRPr="00057460">
        <w:rPr>
          <w:b/>
          <w:bCs/>
        </w:rPr>
        <w:t xml:space="preserve"> </w:t>
      </w:r>
      <w:r>
        <w:rPr>
          <w:b/>
          <w:bCs/>
        </w:rPr>
        <w:t xml:space="preserve">to </w:t>
      </w:r>
      <w:r w:rsidRPr="00057460">
        <w:rPr>
          <w:b/>
          <w:bCs/>
        </w:rPr>
        <w:t xml:space="preserve">Poultry and Retail Meat </w:t>
      </w:r>
    </w:p>
    <w:p w14:paraId="6636A664" w14:textId="77777777" w:rsidR="00057460" w:rsidRDefault="00057460" w:rsidP="00057460">
      <w:pPr>
        <w:jc w:val="both"/>
      </w:pPr>
      <w:r w:rsidRPr="00057460">
        <w:t xml:space="preserve">Foodborne antimicrobial resistance (AMR) is an </w:t>
      </w:r>
      <w:r w:rsidRPr="00057460">
        <w:t>emerging</w:t>
      </w:r>
      <w:r w:rsidRPr="00057460">
        <w:t xml:space="preserve"> </w:t>
      </w:r>
      <w:r w:rsidRPr="00057460">
        <w:t xml:space="preserve">global </w:t>
      </w:r>
      <w:r w:rsidRPr="00057460">
        <w:t>threat to food safety</w:t>
      </w:r>
      <w:r>
        <w:t xml:space="preserve"> and </w:t>
      </w:r>
      <w:r w:rsidRPr="00057460">
        <w:t>sustainable food production. Resistant bacteria and mobile resistance genes can move silently through food animals, processing environments, retail foods, humans, companion animals, and wildlife, challenging conventional surveillance systems that often detect AMR without explaining how it spreads. In a rapidly changing food landscape shaped by</w:t>
      </w:r>
      <w:r>
        <w:t xml:space="preserve"> an </w:t>
      </w:r>
      <w:r w:rsidRPr="00057460">
        <w:t>increasingly complex supply chains, there is a growing need for high-resolution tools that can connect microbiological risk with actionable food science and One Health interventions.</w:t>
      </w:r>
      <w:r>
        <w:t xml:space="preserve"> </w:t>
      </w:r>
    </w:p>
    <w:p w14:paraId="2B48ABE9" w14:textId="03F6EEFF" w:rsidR="00057460" w:rsidRPr="00057460" w:rsidRDefault="00057460" w:rsidP="00D17A3A">
      <w:pPr>
        <w:jc w:val="both"/>
      </w:pPr>
      <w:r w:rsidRPr="00057460">
        <w:t xml:space="preserve">This talk presents </w:t>
      </w:r>
      <w:r>
        <w:t>“</w:t>
      </w:r>
      <w:r w:rsidRPr="00057460">
        <w:t xml:space="preserve">a </w:t>
      </w:r>
      <w:r>
        <w:t>food veterinarian</w:t>
      </w:r>
      <w:r w:rsidRPr="00057460">
        <w:t xml:space="preserve"> perspective</w:t>
      </w:r>
      <w:r>
        <w:t>”</w:t>
      </w:r>
      <w:r w:rsidRPr="00057460">
        <w:t xml:space="preserve"> on foodborne AMR using recent evidence from the United Arab Emirates. </w:t>
      </w:r>
      <w:r>
        <w:t>The story</w:t>
      </w:r>
      <w:r w:rsidRPr="00057460">
        <w:t xml:space="preserve"> begins with the detection of </w:t>
      </w:r>
      <w:r>
        <w:t>mobilizable colistin resistance gene (</w:t>
      </w:r>
      <w:r w:rsidRPr="00057460">
        <w:rPr>
          <w:i/>
          <w:iCs/>
        </w:rPr>
        <w:t>mcr-1.1</w:t>
      </w:r>
      <w:r>
        <w:rPr>
          <w:i/>
          <w:iCs/>
        </w:rPr>
        <w:t>)</w:t>
      </w:r>
      <w:r>
        <w:t xml:space="preserve"> in</w:t>
      </w:r>
      <w:r w:rsidRPr="00057460">
        <w:t xml:space="preserve"> multidrug-resistant </w:t>
      </w:r>
      <w:r w:rsidRPr="00057460">
        <w:rPr>
          <w:i/>
          <w:iCs/>
        </w:rPr>
        <w:t>Escherichia coli</w:t>
      </w:r>
      <w:r w:rsidRPr="00057460">
        <w:t xml:space="preserve"> </w:t>
      </w:r>
      <w:r>
        <w:t>recovered from</w:t>
      </w:r>
      <w:r w:rsidRPr="00057460">
        <w:t xml:space="preserve"> healthy dog</w:t>
      </w:r>
      <w:r>
        <w:t xml:space="preserve"> and cat</w:t>
      </w:r>
      <w:r w:rsidRPr="00057460">
        <w:t xml:space="preserve">, a case that raised important questions about companion animals as sentinels of food-linked AMR circulation. This signal is then traced into </w:t>
      </w:r>
      <w:r w:rsidR="00D17A3A">
        <w:t>supermarket chicken meat</w:t>
      </w:r>
      <w:r w:rsidRPr="00057460">
        <w:t xml:space="preserve">, where whole-genome sequencing revealed </w:t>
      </w:r>
      <w:r w:rsidR="00D17A3A">
        <w:t xml:space="preserve">closely related </w:t>
      </w:r>
      <w:r w:rsidRPr="00D17A3A">
        <w:rPr>
          <w:i/>
          <w:iCs/>
        </w:rPr>
        <w:t>mcr-1.1</w:t>
      </w:r>
      <w:r w:rsidRPr="00057460">
        <w:t xml:space="preserve">-positive colistin-resistant </w:t>
      </w:r>
      <w:r w:rsidRPr="00057460">
        <w:rPr>
          <w:i/>
          <w:iCs/>
        </w:rPr>
        <w:t>E. coli</w:t>
      </w:r>
      <w:r w:rsidRPr="00057460">
        <w:t xml:space="preserve"> in </w:t>
      </w:r>
      <w:r w:rsidR="00D17A3A">
        <w:t xml:space="preserve">retail </w:t>
      </w:r>
      <w:r w:rsidRPr="00057460">
        <w:t>broiler carcasses,</w:t>
      </w:r>
      <w:r w:rsidR="00D17A3A">
        <w:t xml:space="preserve"> sharing</w:t>
      </w:r>
      <w:r w:rsidRPr="00057460">
        <w:t xml:space="preserve"> persistent clonal lineages and mobile plasmids</w:t>
      </w:r>
      <w:r w:rsidR="00D17A3A">
        <w:t xml:space="preserve">. Thus, hypnotizing the </w:t>
      </w:r>
      <w:r w:rsidRPr="00057460">
        <w:t>potential disseminat</w:t>
      </w:r>
      <w:r w:rsidR="00D17A3A">
        <w:t>ion of</w:t>
      </w:r>
      <w:r w:rsidRPr="00057460">
        <w:t xml:space="preserve"> resistance across the food</w:t>
      </w:r>
      <w:r w:rsidR="00D17A3A">
        <w:t>-humans/pets interface</w:t>
      </w:r>
      <w:r w:rsidRPr="00057460">
        <w:t>.</w:t>
      </w:r>
      <w:r w:rsidR="00D17A3A">
        <w:t xml:space="preserve"> Such </w:t>
      </w:r>
      <w:r w:rsidRPr="00057460">
        <w:t xml:space="preserve">interface </w:t>
      </w:r>
      <w:r w:rsidR="00D17A3A">
        <w:t>was</w:t>
      </w:r>
      <w:r w:rsidRPr="00057460">
        <w:t xml:space="preserve"> further explored through genome-based analysis of </w:t>
      </w:r>
      <w:r w:rsidR="00D17A3A" w:rsidRPr="00D17A3A">
        <w:t xml:space="preserve">methicillin-resistant </w:t>
      </w:r>
      <w:r w:rsidR="00D17A3A" w:rsidRPr="00D17A3A">
        <w:rPr>
          <w:i/>
          <w:iCs/>
        </w:rPr>
        <w:t>Staphylococcus aureus</w:t>
      </w:r>
      <w:r w:rsidRPr="00057460">
        <w:t xml:space="preserve"> in retail red meat, where clinically</w:t>
      </w:r>
      <w:r w:rsidR="00D17A3A">
        <w:t xml:space="preserve"> (human)</w:t>
      </w:r>
      <w:r w:rsidRPr="00057460">
        <w:t xml:space="preserve"> relevant lineages, virulence determinants, and multidrug resistance profiles highlight the contribution of handling, contamination, and food-chain interfaces to AMR movement. The </w:t>
      </w:r>
      <w:r w:rsidR="00D17A3A">
        <w:t>story</w:t>
      </w:r>
      <w:r w:rsidRPr="00057460">
        <w:t xml:space="preserve"> then extends beyond the conventional farm-to-fork model to wildlife conservation, through the detection of </w:t>
      </w:r>
      <w:r w:rsidRPr="00D17A3A">
        <w:rPr>
          <w:i/>
          <w:iCs/>
        </w:rPr>
        <w:t>mcr-1.1</w:t>
      </w:r>
      <w:r w:rsidRPr="00057460">
        <w:t xml:space="preserve">-positive multidrug-resistant </w:t>
      </w:r>
      <w:r w:rsidRPr="00057460">
        <w:rPr>
          <w:i/>
          <w:iCs/>
        </w:rPr>
        <w:t>Salmonella Kentucky</w:t>
      </w:r>
      <w:r w:rsidRPr="00057460">
        <w:t xml:space="preserve"> in captive Asian houbara bustard, genomically linked to poultry-associated isolates.</w:t>
      </w:r>
      <w:r w:rsidR="00D17A3A">
        <w:t xml:space="preserve"> </w:t>
      </w:r>
      <w:r w:rsidRPr="00057460">
        <w:t>Together, these cases show why the UAE is a strategic hub for foodborne AMR research: a global food-trade crossroads where humans, animals, food systems, and ecosystems intersect. They also demonstrate the added value of whole-genome sequencing for modern food science, enabling source tracking, plasmid characterization, transmission mapping, risk assessment, and evidence-based One Health strategies to protect food safety and human health.</w:t>
      </w:r>
    </w:p>
    <w:p w14:paraId="73D9C051" w14:textId="77777777" w:rsidR="00057460" w:rsidRDefault="00057460"/>
    <w:sectPr w:rsidR="000574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F644D" w14:textId="77777777" w:rsidR="00D46F8E" w:rsidRDefault="00D46F8E" w:rsidP="00057460">
      <w:pPr>
        <w:spacing w:after="0" w:line="240" w:lineRule="auto"/>
      </w:pPr>
      <w:r>
        <w:separator/>
      </w:r>
    </w:p>
  </w:endnote>
  <w:endnote w:type="continuationSeparator" w:id="0">
    <w:p w14:paraId="1FE64DB4" w14:textId="77777777" w:rsidR="00D46F8E" w:rsidRDefault="00D46F8E" w:rsidP="00057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EFD97" w14:textId="77777777" w:rsidR="00D46F8E" w:rsidRDefault="00D46F8E" w:rsidP="00057460">
      <w:pPr>
        <w:spacing w:after="0" w:line="240" w:lineRule="auto"/>
      </w:pPr>
      <w:r>
        <w:separator/>
      </w:r>
    </w:p>
  </w:footnote>
  <w:footnote w:type="continuationSeparator" w:id="0">
    <w:p w14:paraId="05533A71" w14:textId="77777777" w:rsidR="00D46F8E" w:rsidRDefault="00D46F8E" w:rsidP="00057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DE0F6" w14:textId="1D87F2D2" w:rsidR="00057460" w:rsidRDefault="00057460">
    <w:pPr>
      <w:pStyle w:val="Header"/>
    </w:pPr>
    <w:r>
      <w:t>Ihab Habib - Abstract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460"/>
    <w:rsid w:val="00057460"/>
    <w:rsid w:val="00655AD1"/>
    <w:rsid w:val="00D17A3A"/>
    <w:rsid w:val="00D46F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7AF0D"/>
  <w15:chartTrackingRefBased/>
  <w15:docId w15:val="{15A12E7F-B2C2-46D9-8597-B7D571A5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7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7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460"/>
    <w:rPr>
      <w:rFonts w:eastAsiaTheme="majorEastAsia" w:cstheme="majorBidi"/>
      <w:color w:val="272727" w:themeColor="text1" w:themeTint="D8"/>
    </w:rPr>
  </w:style>
  <w:style w:type="paragraph" w:styleId="Title">
    <w:name w:val="Title"/>
    <w:basedOn w:val="Normal"/>
    <w:next w:val="Normal"/>
    <w:link w:val="TitleChar"/>
    <w:uiPriority w:val="10"/>
    <w:qFormat/>
    <w:rsid w:val="00057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460"/>
    <w:pPr>
      <w:spacing w:before="160"/>
      <w:jc w:val="center"/>
    </w:pPr>
    <w:rPr>
      <w:i/>
      <w:iCs/>
      <w:color w:val="404040" w:themeColor="text1" w:themeTint="BF"/>
    </w:rPr>
  </w:style>
  <w:style w:type="character" w:customStyle="1" w:styleId="QuoteChar">
    <w:name w:val="Quote Char"/>
    <w:basedOn w:val="DefaultParagraphFont"/>
    <w:link w:val="Quote"/>
    <w:uiPriority w:val="29"/>
    <w:rsid w:val="00057460"/>
    <w:rPr>
      <w:i/>
      <w:iCs/>
      <w:color w:val="404040" w:themeColor="text1" w:themeTint="BF"/>
    </w:rPr>
  </w:style>
  <w:style w:type="paragraph" w:styleId="ListParagraph">
    <w:name w:val="List Paragraph"/>
    <w:basedOn w:val="Normal"/>
    <w:uiPriority w:val="34"/>
    <w:qFormat/>
    <w:rsid w:val="00057460"/>
    <w:pPr>
      <w:ind w:left="720"/>
      <w:contextualSpacing/>
    </w:pPr>
  </w:style>
  <w:style w:type="character" w:styleId="IntenseEmphasis">
    <w:name w:val="Intense Emphasis"/>
    <w:basedOn w:val="DefaultParagraphFont"/>
    <w:uiPriority w:val="21"/>
    <w:qFormat/>
    <w:rsid w:val="00057460"/>
    <w:rPr>
      <w:i/>
      <w:iCs/>
      <w:color w:val="0F4761" w:themeColor="accent1" w:themeShade="BF"/>
    </w:rPr>
  </w:style>
  <w:style w:type="paragraph" w:styleId="IntenseQuote">
    <w:name w:val="Intense Quote"/>
    <w:basedOn w:val="Normal"/>
    <w:next w:val="Normal"/>
    <w:link w:val="IntenseQuoteChar"/>
    <w:uiPriority w:val="30"/>
    <w:qFormat/>
    <w:rsid w:val="00057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460"/>
    <w:rPr>
      <w:i/>
      <w:iCs/>
      <w:color w:val="0F4761" w:themeColor="accent1" w:themeShade="BF"/>
    </w:rPr>
  </w:style>
  <w:style w:type="character" w:styleId="IntenseReference">
    <w:name w:val="Intense Reference"/>
    <w:basedOn w:val="DefaultParagraphFont"/>
    <w:uiPriority w:val="32"/>
    <w:qFormat/>
    <w:rsid w:val="00057460"/>
    <w:rPr>
      <w:b/>
      <w:bCs/>
      <w:smallCaps/>
      <w:color w:val="0F4761" w:themeColor="accent1" w:themeShade="BF"/>
      <w:spacing w:val="5"/>
    </w:rPr>
  </w:style>
  <w:style w:type="paragraph" w:styleId="Header">
    <w:name w:val="header"/>
    <w:basedOn w:val="Normal"/>
    <w:link w:val="HeaderChar"/>
    <w:uiPriority w:val="99"/>
    <w:unhideWhenUsed/>
    <w:rsid w:val="00057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460"/>
  </w:style>
  <w:style w:type="paragraph" w:styleId="Footer">
    <w:name w:val="footer"/>
    <w:basedOn w:val="Normal"/>
    <w:link w:val="FooterChar"/>
    <w:uiPriority w:val="99"/>
    <w:unhideWhenUsed/>
    <w:rsid w:val="00057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Ihab Habib</dc:creator>
  <cp:keywords/>
  <dc:description/>
  <cp:lastModifiedBy>Ihab Habib</cp:lastModifiedBy>
  <cp:revision>1</cp:revision>
  <dcterms:created xsi:type="dcterms:W3CDTF">2026-05-06T09:57:00Z</dcterms:created>
  <dcterms:modified xsi:type="dcterms:W3CDTF">2026-05-06T10:14:00Z</dcterms:modified>
</cp:coreProperties>
</file>