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6899D" w14:textId="28540A7B" w:rsidR="002E02A1" w:rsidRPr="002E02A1" w:rsidRDefault="002E02A1" w:rsidP="002E02A1">
      <w:pPr>
        <w:jc w:val="center"/>
        <w:rPr>
          <w:sz w:val="20"/>
          <w:szCs w:val="20"/>
          <w:lang w:val="en-US"/>
        </w:rPr>
      </w:pPr>
      <w:r w:rsidRPr="002E02A1">
        <w:rPr>
          <w:sz w:val="20"/>
          <w:szCs w:val="20"/>
          <w:lang w:val="en-US"/>
        </w:rPr>
        <w:t>Singapore International Food Forum, August 3-4</w:t>
      </w:r>
      <w:r w:rsidRPr="002E02A1">
        <w:rPr>
          <w:sz w:val="20"/>
          <w:szCs w:val="20"/>
          <w:vertAlign w:val="superscript"/>
          <w:lang w:val="en-US"/>
        </w:rPr>
        <w:t>th</w:t>
      </w:r>
      <w:r w:rsidRPr="002E02A1">
        <w:rPr>
          <w:sz w:val="20"/>
          <w:szCs w:val="20"/>
          <w:lang w:val="en-US"/>
        </w:rPr>
        <w:t xml:space="preserve"> 2026 - </w:t>
      </w:r>
      <w:hyperlink r:id="rId4" w:history="1">
        <w:r w:rsidRPr="002E02A1">
          <w:rPr>
            <w:rStyle w:val="Hyperlink"/>
            <w:sz w:val="20"/>
            <w:szCs w:val="20"/>
          </w:rPr>
          <w:t>Singapore International Food Forum (SIFF)</w:t>
        </w:r>
      </w:hyperlink>
    </w:p>
    <w:p w14:paraId="63D3B2C4" w14:textId="77777777" w:rsidR="002E02A1" w:rsidRDefault="002E02A1" w:rsidP="002E02A1">
      <w:pPr>
        <w:jc w:val="center"/>
        <w:rPr>
          <w:b/>
          <w:bCs/>
        </w:rPr>
      </w:pPr>
    </w:p>
    <w:p w14:paraId="17422D13" w14:textId="62C6B2B3" w:rsidR="004662D1" w:rsidRPr="002E02A1" w:rsidRDefault="002E02A1" w:rsidP="002E02A1">
      <w:pPr>
        <w:ind w:firstLine="720"/>
        <w:jc w:val="center"/>
        <w:rPr>
          <w:b/>
          <w:bCs/>
        </w:rPr>
      </w:pPr>
      <w:r w:rsidRPr="002E02A1">
        <w:rPr>
          <w:b/>
          <w:bCs/>
          <w:i/>
          <w:iCs/>
        </w:rPr>
        <w:t>Listeria</w:t>
      </w:r>
      <w:r w:rsidRPr="002E02A1">
        <w:rPr>
          <w:b/>
          <w:bCs/>
        </w:rPr>
        <w:t xml:space="preserve"> and </w:t>
      </w:r>
      <w:r>
        <w:rPr>
          <w:b/>
          <w:bCs/>
        </w:rPr>
        <w:t>f</w:t>
      </w:r>
      <w:r w:rsidRPr="002E02A1">
        <w:rPr>
          <w:b/>
          <w:bCs/>
        </w:rPr>
        <w:t xml:space="preserve">riends: </w:t>
      </w:r>
      <w:r>
        <w:rPr>
          <w:b/>
          <w:bCs/>
        </w:rPr>
        <w:t>m</w:t>
      </w:r>
      <w:r w:rsidRPr="002E02A1">
        <w:rPr>
          <w:b/>
          <w:bCs/>
        </w:rPr>
        <w:t xml:space="preserve">anaging </w:t>
      </w:r>
      <w:r>
        <w:rPr>
          <w:b/>
          <w:bCs/>
        </w:rPr>
        <w:t>f</w:t>
      </w:r>
      <w:r w:rsidRPr="002E02A1">
        <w:rPr>
          <w:b/>
          <w:bCs/>
        </w:rPr>
        <w:t xml:space="preserve">ood </w:t>
      </w:r>
      <w:r>
        <w:rPr>
          <w:b/>
          <w:bCs/>
        </w:rPr>
        <w:t>s</w:t>
      </w:r>
      <w:r w:rsidRPr="002E02A1">
        <w:rPr>
          <w:b/>
          <w:bCs/>
        </w:rPr>
        <w:t xml:space="preserve">afety </w:t>
      </w:r>
      <w:r>
        <w:rPr>
          <w:b/>
          <w:bCs/>
        </w:rPr>
        <w:t>w</w:t>
      </w:r>
      <w:r w:rsidRPr="002E02A1">
        <w:rPr>
          <w:b/>
          <w:bCs/>
        </w:rPr>
        <w:t xml:space="preserve">hile </w:t>
      </w:r>
      <w:r>
        <w:rPr>
          <w:b/>
          <w:bCs/>
        </w:rPr>
        <w:t>e</w:t>
      </w:r>
      <w:r w:rsidRPr="002E02A1">
        <w:rPr>
          <w:b/>
          <w:bCs/>
        </w:rPr>
        <w:t xml:space="preserve">mbracing </w:t>
      </w:r>
      <w:r>
        <w:rPr>
          <w:b/>
          <w:bCs/>
        </w:rPr>
        <w:t>b</w:t>
      </w:r>
      <w:r w:rsidRPr="002E02A1">
        <w:rPr>
          <w:b/>
          <w:bCs/>
        </w:rPr>
        <w:t xml:space="preserve">iodiversity in a </w:t>
      </w:r>
      <w:r>
        <w:rPr>
          <w:b/>
          <w:bCs/>
        </w:rPr>
        <w:t>w</w:t>
      </w:r>
      <w:r w:rsidRPr="002E02A1">
        <w:rPr>
          <w:b/>
          <w:bCs/>
        </w:rPr>
        <w:t xml:space="preserve">orld of </w:t>
      </w:r>
      <w:r>
        <w:rPr>
          <w:b/>
          <w:bCs/>
        </w:rPr>
        <w:t>f</w:t>
      </w:r>
      <w:r w:rsidRPr="002E02A1">
        <w:rPr>
          <w:b/>
          <w:bCs/>
        </w:rPr>
        <w:t xml:space="preserve">resh and </w:t>
      </w:r>
      <w:r>
        <w:rPr>
          <w:b/>
          <w:bCs/>
        </w:rPr>
        <w:t>m</w:t>
      </w:r>
      <w:r w:rsidRPr="002E02A1">
        <w:rPr>
          <w:b/>
          <w:bCs/>
        </w:rPr>
        <w:t xml:space="preserve">inimally </w:t>
      </w:r>
      <w:r>
        <w:rPr>
          <w:b/>
          <w:bCs/>
        </w:rPr>
        <w:t>p</w:t>
      </w:r>
      <w:r w:rsidRPr="002E02A1">
        <w:rPr>
          <w:b/>
          <w:bCs/>
        </w:rPr>
        <w:t xml:space="preserve">rocessed </w:t>
      </w:r>
      <w:r>
        <w:rPr>
          <w:b/>
          <w:bCs/>
        </w:rPr>
        <w:t>f</w:t>
      </w:r>
      <w:r w:rsidRPr="002E02A1">
        <w:rPr>
          <w:b/>
          <w:bCs/>
        </w:rPr>
        <w:t>oods</w:t>
      </w:r>
    </w:p>
    <w:p w14:paraId="734DC1D3" w14:textId="271D9CB4" w:rsidR="002E02A1" w:rsidRPr="002E02A1" w:rsidRDefault="002E02A1" w:rsidP="002E02A1">
      <w:pPr>
        <w:jc w:val="center"/>
        <w:rPr>
          <w:lang w:val="en-BE"/>
        </w:rPr>
      </w:pPr>
      <w:r w:rsidRPr="002E02A1">
        <w:rPr>
          <w:lang w:val="en-BE"/>
        </w:rPr>
        <w:t xml:space="preserve">Professor </w:t>
      </w:r>
      <w:r w:rsidRPr="002E02A1">
        <w:rPr>
          <w:lang w:val="en-BE"/>
        </w:rPr>
        <w:t>Mieke Uyttendaele</w:t>
      </w:r>
    </w:p>
    <w:p w14:paraId="0911A9F3" w14:textId="3611751E" w:rsidR="002E02A1" w:rsidRPr="002E02A1" w:rsidRDefault="002E02A1" w:rsidP="002E02A1">
      <w:pPr>
        <w:jc w:val="center"/>
        <w:rPr>
          <w:lang w:val="en-BE"/>
        </w:rPr>
      </w:pPr>
      <w:r w:rsidRPr="002E02A1">
        <w:rPr>
          <w:lang w:val="en-BE"/>
        </w:rPr>
        <w:t>Department Food Technology, Safety &amp; Health, Ghent University</w:t>
      </w:r>
    </w:p>
    <w:p w14:paraId="4FF6BC5F" w14:textId="1355F261" w:rsidR="002E02A1" w:rsidRPr="002E02A1" w:rsidRDefault="002E02A1">
      <w:pPr>
        <w:rPr>
          <w:b/>
          <w:bCs/>
          <w:lang w:val="en-US"/>
        </w:rPr>
      </w:pPr>
      <w:r w:rsidRPr="002E02A1">
        <w:rPr>
          <w:b/>
          <w:bCs/>
          <w:lang w:val="en-US"/>
        </w:rPr>
        <w:t>Abstract</w:t>
      </w:r>
    </w:p>
    <w:p w14:paraId="25F13884" w14:textId="7E7D116D" w:rsidR="002E02A1" w:rsidRDefault="002E02A1" w:rsidP="002E02A1">
      <w:r w:rsidRPr="002E02A1">
        <w:rPr>
          <w:i/>
          <w:iCs/>
        </w:rPr>
        <w:t>Listeria monocytogenes</w:t>
      </w:r>
      <w:r w:rsidRPr="002E02A1">
        <w:t xml:space="preserve"> </w:t>
      </w:r>
      <w:r w:rsidR="003200F3">
        <w:t xml:space="preserve">remains </w:t>
      </w:r>
      <w:r w:rsidR="002C3B70">
        <w:t xml:space="preserve">a </w:t>
      </w:r>
      <w:r w:rsidR="003200F3">
        <w:t xml:space="preserve">major </w:t>
      </w:r>
      <w:r w:rsidR="002C3B70">
        <w:t xml:space="preserve">foodborne pathogen </w:t>
      </w:r>
      <w:r w:rsidR="003200F3">
        <w:t>of concern i</w:t>
      </w:r>
      <w:r w:rsidRPr="002E02A1">
        <w:t xml:space="preserve">n a society increasingly drawn to fresh and minimally processed foods. </w:t>
      </w:r>
      <w:r w:rsidR="003200F3">
        <w:t>Using</w:t>
      </w:r>
      <w:r w:rsidRPr="002E02A1">
        <w:t xml:space="preserve"> surveys, modelling and challenge testing, we examine its spread and growth potential. But </w:t>
      </w:r>
      <w:r w:rsidRPr="002C3B70">
        <w:rPr>
          <w:i/>
          <w:iCs/>
        </w:rPr>
        <w:t>Listeria</w:t>
      </w:r>
      <w:r w:rsidRPr="002E02A1">
        <w:t xml:space="preserve"> has friends, and with every shift in the food system</w:t>
      </w:r>
      <w:r w:rsidR="002C3B70">
        <w:t xml:space="preserve"> </w:t>
      </w:r>
      <w:r w:rsidRPr="002E02A1">
        <w:t>—</w:t>
      </w:r>
      <w:r w:rsidR="002C3B70">
        <w:t xml:space="preserve"> </w:t>
      </w:r>
      <w:r w:rsidR="003200F3">
        <w:t>whether</w:t>
      </w:r>
      <w:r w:rsidRPr="002E02A1">
        <w:t xml:space="preserve"> aquaponics, last</w:t>
      </w:r>
      <w:r w:rsidRPr="002E02A1">
        <w:noBreakHyphen/>
        <w:t>mile delivery, plant</w:t>
      </w:r>
      <w:r w:rsidRPr="002E02A1">
        <w:noBreakHyphen/>
        <w:t xml:space="preserve">based diets, </w:t>
      </w:r>
      <w:r w:rsidR="003200F3">
        <w:t xml:space="preserve">or </w:t>
      </w:r>
      <w:r w:rsidRPr="002E02A1">
        <w:t>precision fermentation</w:t>
      </w:r>
      <w:r w:rsidR="003200F3">
        <w:t xml:space="preserve"> </w:t>
      </w:r>
      <w:r w:rsidRPr="002E02A1">
        <w:t>—</w:t>
      </w:r>
      <w:r w:rsidR="002C3B70">
        <w:t xml:space="preserve"> </w:t>
      </w:r>
      <w:r w:rsidRPr="002E02A1">
        <w:t xml:space="preserve">the cycle </w:t>
      </w:r>
      <w:r w:rsidR="003200F3">
        <w:t>restarts</w:t>
      </w:r>
      <w:r w:rsidRPr="002E02A1">
        <w:t>: hazard identification, pathogen characterisation, risk assessment, and the search for effective food safety interventions and management strategies.</w:t>
      </w:r>
    </w:p>
    <w:p w14:paraId="5D1A80F8" w14:textId="3D3AD439" w:rsidR="003200F3" w:rsidRPr="003200F3" w:rsidRDefault="003200F3" w:rsidP="003200F3">
      <w:pPr>
        <w:rPr>
          <w:lang w:val="en-BE"/>
        </w:rPr>
      </w:pPr>
      <w:r w:rsidRPr="003200F3">
        <w:rPr>
          <w:lang w:val="en-BE"/>
        </w:rPr>
        <w:t xml:space="preserve">At the same time, growing recognition of microbiota dynamics in foods has sparked interest in </w:t>
      </w:r>
      <w:r>
        <w:rPr>
          <w:lang w:val="en-BE"/>
        </w:rPr>
        <w:t>exploiting</w:t>
      </w:r>
      <w:r w:rsidRPr="003200F3">
        <w:rPr>
          <w:lang w:val="en-BE"/>
        </w:rPr>
        <w:t xml:space="preserve"> microbial interactions and moving toward biological control of pathogens. </w:t>
      </w:r>
      <w:r>
        <w:rPr>
          <w:lang w:val="en-BE"/>
        </w:rPr>
        <w:t>Yet, r</w:t>
      </w:r>
      <w:r w:rsidRPr="003200F3">
        <w:rPr>
          <w:lang w:val="en-BE"/>
        </w:rPr>
        <w:t>econciling food safety objectives with microbial diversity</w:t>
      </w:r>
      <w:r>
        <w:rPr>
          <w:lang w:val="en-BE"/>
        </w:rPr>
        <w:t xml:space="preserve"> is far from straightforward. </w:t>
      </w:r>
      <w:r w:rsidRPr="003200F3">
        <w:rPr>
          <w:lang w:val="en-BE"/>
        </w:rPr>
        <w:t xml:space="preserve">This is evident in </w:t>
      </w:r>
      <w:r>
        <w:rPr>
          <w:lang w:val="en-BE"/>
        </w:rPr>
        <w:t xml:space="preserve">the </w:t>
      </w:r>
      <w:r w:rsidRPr="003200F3">
        <w:rPr>
          <w:lang w:val="en-BE"/>
        </w:rPr>
        <w:t xml:space="preserve">debate on the use of biopesticides such as </w:t>
      </w:r>
      <w:r w:rsidRPr="003200F3">
        <w:rPr>
          <w:i/>
          <w:iCs/>
          <w:lang w:val="en-BE"/>
        </w:rPr>
        <w:t>Bacillus thuringiensis</w:t>
      </w:r>
      <w:r w:rsidRPr="003200F3">
        <w:rPr>
          <w:lang w:val="en-BE"/>
        </w:rPr>
        <w:t xml:space="preserve"> (</w:t>
      </w:r>
      <w:proofErr w:type="spellStart"/>
      <w:r w:rsidRPr="003200F3">
        <w:rPr>
          <w:lang w:val="en-BE"/>
        </w:rPr>
        <w:t>Bt</w:t>
      </w:r>
      <w:proofErr w:type="spellEnd"/>
      <w:r w:rsidRPr="003200F3">
        <w:rPr>
          <w:lang w:val="en-BE"/>
        </w:rPr>
        <w:t xml:space="preserve">) in primary vegetable production, </w:t>
      </w:r>
      <w:r>
        <w:rPr>
          <w:lang w:val="en-BE"/>
        </w:rPr>
        <w:t xml:space="preserve">or </w:t>
      </w:r>
      <w:r w:rsidRPr="003200F3">
        <w:rPr>
          <w:lang w:val="en-BE"/>
        </w:rPr>
        <w:t xml:space="preserve">in the evaluation of </w:t>
      </w:r>
      <w:proofErr w:type="spellStart"/>
      <w:r w:rsidRPr="003200F3">
        <w:rPr>
          <w:lang w:val="en-BE"/>
        </w:rPr>
        <w:t>biosolutions</w:t>
      </w:r>
      <w:proofErr w:type="spellEnd"/>
      <w:r w:rsidRPr="003200F3">
        <w:rPr>
          <w:lang w:val="en-BE"/>
        </w:rPr>
        <w:t xml:space="preserve"> </w:t>
      </w:r>
      <w:r>
        <w:rPr>
          <w:lang w:val="en-BE"/>
        </w:rPr>
        <w:t xml:space="preserve">such as </w:t>
      </w:r>
      <w:r w:rsidRPr="003200F3">
        <w:rPr>
          <w:lang w:val="en-BE"/>
        </w:rPr>
        <w:t>protective cultures in sustainable food systems.</w:t>
      </w:r>
    </w:p>
    <w:p w14:paraId="3211DAEC" w14:textId="568CF347" w:rsidR="002E02A1" w:rsidRDefault="002E02A1" w:rsidP="002E02A1">
      <w:r w:rsidRPr="002E02A1">
        <w:t xml:space="preserve">Moreover, ensuring food safety requires adequate food literacy. Moving </w:t>
      </w:r>
      <w:r w:rsidR="003200F3">
        <w:t xml:space="preserve">beyond traditional </w:t>
      </w:r>
      <w:r w:rsidRPr="002E02A1">
        <w:t>risk communication to</w:t>
      </w:r>
      <w:r w:rsidR="00905EB5">
        <w:t>wards</w:t>
      </w:r>
      <w:r w:rsidRPr="002E02A1">
        <w:t xml:space="preserve"> accessible</w:t>
      </w:r>
      <w:r w:rsidR="00905EB5">
        <w:t xml:space="preserve">, actionable </w:t>
      </w:r>
      <w:r w:rsidRPr="002E02A1">
        <w:t xml:space="preserve">food safety information about </w:t>
      </w:r>
      <w:r w:rsidRPr="002C3B70">
        <w:rPr>
          <w:i/>
          <w:iCs/>
        </w:rPr>
        <w:t>Listeria</w:t>
      </w:r>
      <w:r w:rsidRPr="002E02A1">
        <w:t xml:space="preserve"> and its </w:t>
      </w:r>
      <w:r w:rsidR="00905EB5">
        <w:t>“</w:t>
      </w:r>
      <w:r w:rsidRPr="002E02A1">
        <w:t>friends</w:t>
      </w:r>
      <w:r w:rsidR="00905EB5">
        <w:t>”</w:t>
      </w:r>
      <w:r w:rsidRPr="002E02A1">
        <w:t xml:space="preserve"> is essential. The better we</w:t>
      </w:r>
      <w:r w:rsidR="002C3B70">
        <w:t xml:space="preserve"> </w:t>
      </w:r>
      <w:r w:rsidRPr="002E02A1">
        <w:t>—</w:t>
      </w:r>
      <w:r w:rsidR="002C3B70">
        <w:t xml:space="preserve"> </w:t>
      </w:r>
      <w:r w:rsidRPr="002E02A1">
        <w:t>and all stakeholders a</w:t>
      </w:r>
      <w:r w:rsidR="00905EB5">
        <w:t xml:space="preserve">long </w:t>
      </w:r>
      <w:r w:rsidRPr="002E02A1">
        <w:t>the farm</w:t>
      </w:r>
      <w:r w:rsidRPr="002E02A1">
        <w:noBreakHyphen/>
        <w:t>to</w:t>
      </w:r>
      <w:r w:rsidRPr="002E02A1">
        <w:noBreakHyphen/>
        <w:t>fork chain</w:t>
      </w:r>
      <w:r w:rsidR="002C3B70">
        <w:t xml:space="preserve"> </w:t>
      </w:r>
      <w:r w:rsidRPr="002E02A1">
        <w:t>—</w:t>
      </w:r>
      <w:r w:rsidR="002C3B70">
        <w:t xml:space="preserve"> </w:t>
      </w:r>
      <w:r w:rsidRPr="002E02A1">
        <w:t xml:space="preserve">understand microbial risks, the </w:t>
      </w:r>
      <w:r w:rsidR="00905EB5">
        <w:t>more</w:t>
      </w:r>
      <w:r w:rsidRPr="002E02A1">
        <w:t xml:space="preserve"> prepared we are </w:t>
      </w:r>
      <w:r w:rsidR="00905EB5">
        <w:t>to manage</w:t>
      </w:r>
      <w:r w:rsidRPr="002E02A1">
        <w:t xml:space="preserve"> emerging hazards and incidents. Food safety, after all, is a never</w:t>
      </w:r>
      <w:r w:rsidRPr="002E02A1">
        <w:noBreakHyphen/>
        <w:t>ending story</w:t>
      </w:r>
      <w:r w:rsidR="003200F3">
        <w:t>.</w:t>
      </w:r>
    </w:p>
    <w:p w14:paraId="42895E40" w14:textId="77777777" w:rsidR="00905EB5" w:rsidRDefault="00905EB5">
      <w:pPr>
        <w:rPr>
          <w:b/>
          <w:bCs/>
          <w:lang w:val="en-US"/>
        </w:rPr>
      </w:pPr>
    </w:p>
    <w:p w14:paraId="28C94F8E" w14:textId="785DD38A" w:rsidR="002E02A1" w:rsidRPr="002E02A1" w:rsidRDefault="002E02A1">
      <w:pPr>
        <w:rPr>
          <w:b/>
          <w:bCs/>
          <w:lang w:val="en-US"/>
        </w:rPr>
      </w:pPr>
      <w:r w:rsidRPr="002E02A1">
        <w:rPr>
          <w:b/>
          <w:bCs/>
          <w:lang w:val="en-US"/>
        </w:rPr>
        <w:t>Short CV</w:t>
      </w:r>
    </w:p>
    <w:p w14:paraId="74EA1715" w14:textId="77777777" w:rsidR="002E02A1" w:rsidRDefault="002E02A1" w:rsidP="002E02A1">
      <w:pPr>
        <w:rPr>
          <w:lang w:val="en-BE"/>
        </w:rPr>
      </w:pPr>
      <w:r w:rsidRPr="002E02A1">
        <w:rPr>
          <w:lang w:val="en-BE"/>
        </w:rPr>
        <w:t>Prof. Mieke Uyttendaele is Full Professor of Food Safety at Ghent University (UGent). She holds a Bio</w:t>
      </w:r>
      <w:r w:rsidRPr="002E02A1">
        <w:rPr>
          <w:lang w:val="en-BE"/>
        </w:rPr>
        <w:noBreakHyphen/>
        <w:t xml:space="preserve">Science Engineering degree (1992) and a PhD in Applied Biological Sciences (1996). Her leadership roles include Faculty Director of Studies and Internationalization (2020–2025) and presently she chairs the Education group within ICA, the Association for European Life Science Universities. As a member of the Food Microbiology and Food Preservation Research Group at UGent, her work focuses on major foodborne pathogens - including Campylobacter, Listeria monocytogenes, Salmonella, Bacillus cereus and norovirus - covering detection methods, prevalence studies, control measures and risk profiling to support food safety management and </w:t>
      </w:r>
      <w:r w:rsidRPr="002E02A1">
        <w:rPr>
          <w:lang w:val="en-BE"/>
        </w:rPr>
        <w:lastRenderedPageBreak/>
        <w:t>microbiological criteria. She is the main author of the UGent book on microbiological guidelines and the ‘Pathogen-free food?’ book. She has published over 300 peer</w:t>
      </w:r>
      <w:r w:rsidRPr="002E02A1">
        <w:rPr>
          <w:lang w:val="en-BE"/>
        </w:rPr>
        <w:noBreakHyphen/>
        <w:t xml:space="preserve">reviewed papers, supervised around 30 PhD students, and currently </w:t>
      </w:r>
      <w:proofErr w:type="gramStart"/>
      <w:r w:rsidRPr="002E02A1">
        <w:rPr>
          <w:lang w:val="en-BE"/>
        </w:rPr>
        <w:t>leads</w:t>
      </w:r>
      <w:proofErr w:type="gramEnd"/>
      <w:r w:rsidRPr="002E02A1">
        <w:rPr>
          <w:lang w:val="en-BE"/>
        </w:rPr>
        <w:t xml:space="preserve"> microbial hazard research within the EU </w:t>
      </w:r>
      <w:proofErr w:type="spellStart"/>
      <w:r w:rsidRPr="002E02A1">
        <w:rPr>
          <w:lang w:val="en-BE"/>
        </w:rPr>
        <w:t>FoodSafeR</w:t>
      </w:r>
      <w:proofErr w:type="spellEnd"/>
      <w:r w:rsidRPr="002E02A1">
        <w:rPr>
          <w:lang w:val="en-BE"/>
        </w:rPr>
        <w:t xml:space="preserve"> project.</w:t>
      </w:r>
    </w:p>
    <w:p w14:paraId="65B215D6" w14:textId="7D3630B2" w:rsidR="00905EB5" w:rsidRPr="002E02A1" w:rsidRDefault="00905EB5" w:rsidP="00905EB5">
      <w:pPr>
        <w:jc w:val="center"/>
        <w:rPr>
          <w:lang w:val="en-BE"/>
        </w:rPr>
      </w:pPr>
      <w:r>
        <w:rPr>
          <w:lang w:val="en-BE"/>
        </w:rPr>
        <w:t>___________________________</w:t>
      </w:r>
    </w:p>
    <w:p w14:paraId="37FA8F01" w14:textId="77777777" w:rsidR="002E02A1" w:rsidRPr="002E02A1" w:rsidRDefault="002E02A1">
      <w:pPr>
        <w:rPr>
          <w:lang w:val="en-BE"/>
        </w:rPr>
      </w:pPr>
    </w:p>
    <w:sectPr w:rsidR="002E02A1" w:rsidRPr="002E0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2A1"/>
    <w:rsid w:val="002C3B70"/>
    <w:rsid w:val="002E02A1"/>
    <w:rsid w:val="003200F3"/>
    <w:rsid w:val="004662D1"/>
    <w:rsid w:val="008C72E1"/>
    <w:rsid w:val="00905EB5"/>
    <w:rsid w:val="00E61BD6"/>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8B87F"/>
  <w15:chartTrackingRefBased/>
  <w15:docId w15:val="{2074D1DA-C5B0-4EDD-A446-3656985D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2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2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2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2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2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2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2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2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2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2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2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2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2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2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2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2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2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2A1"/>
    <w:rPr>
      <w:rFonts w:eastAsiaTheme="majorEastAsia" w:cstheme="majorBidi"/>
      <w:color w:val="272727" w:themeColor="text1" w:themeTint="D8"/>
    </w:rPr>
  </w:style>
  <w:style w:type="paragraph" w:styleId="Title">
    <w:name w:val="Title"/>
    <w:basedOn w:val="Normal"/>
    <w:next w:val="Normal"/>
    <w:link w:val="TitleChar"/>
    <w:uiPriority w:val="10"/>
    <w:qFormat/>
    <w:rsid w:val="002E0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2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2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2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2A1"/>
    <w:pPr>
      <w:spacing w:before="160"/>
      <w:jc w:val="center"/>
    </w:pPr>
    <w:rPr>
      <w:i/>
      <w:iCs/>
      <w:color w:val="404040" w:themeColor="text1" w:themeTint="BF"/>
    </w:rPr>
  </w:style>
  <w:style w:type="character" w:customStyle="1" w:styleId="QuoteChar">
    <w:name w:val="Quote Char"/>
    <w:basedOn w:val="DefaultParagraphFont"/>
    <w:link w:val="Quote"/>
    <w:uiPriority w:val="29"/>
    <w:rsid w:val="002E02A1"/>
    <w:rPr>
      <w:i/>
      <w:iCs/>
      <w:color w:val="404040" w:themeColor="text1" w:themeTint="BF"/>
    </w:rPr>
  </w:style>
  <w:style w:type="paragraph" w:styleId="ListParagraph">
    <w:name w:val="List Paragraph"/>
    <w:basedOn w:val="Normal"/>
    <w:uiPriority w:val="34"/>
    <w:qFormat/>
    <w:rsid w:val="002E02A1"/>
    <w:pPr>
      <w:ind w:left="720"/>
      <w:contextualSpacing/>
    </w:pPr>
  </w:style>
  <w:style w:type="character" w:styleId="IntenseEmphasis">
    <w:name w:val="Intense Emphasis"/>
    <w:basedOn w:val="DefaultParagraphFont"/>
    <w:uiPriority w:val="21"/>
    <w:qFormat/>
    <w:rsid w:val="002E02A1"/>
    <w:rPr>
      <w:i/>
      <w:iCs/>
      <w:color w:val="0F4761" w:themeColor="accent1" w:themeShade="BF"/>
    </w:rPr>
  </w:style>
  <w:style w:type="paragraph" w:styleId="IntenseQuote">
    <w:name w:val="Intense Quote"/>
    <w:basedOn w:val="Normal"/>
    <w:next w:val="Normal"/>
    <w:link w:val="IntenseQuoteChar"/>
    <w:uiPriority w:val="30"/>
    <w:qFormat/>
    <w:rsid w:val="002E02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2A1"/>
    <w:rPr>
      <w:i/>
      <w:iCs/>
      <w:color w:val="0F4761" w:themeColor="accent1" w:themeShade="BF"/>
    </w:rPr>
  </w:style>
  <w:style w:type="character" w:styleId="IntenseReference">
    <w:name w:val="Intense Reference"/>
    <w:basedOn w:val="DefaultParagraphFont"/>
    <w:uiPriority w:val="32"/>
    <w:qFormat/>
    <w:rsid w:val="002E02A1"/>
    <w:rPr>
      <w:b/>
      <w:bCs/>
      <w:smallCaps/>
      <w:color w:val="0F4761" w:themeColor="accent1" w:themeShade="BF"/>
      <w:spacing w:val="5"/>
    </w:rPr>
  </w:style>
  <w:style w:type="character" w:styleId="Hyperlink">
    <w:name w:val="Hyperlink"/>
    <w:basedOn w:val="DefaultParagraphFont"/>
    <w:uiPriority w:val="99"/>
    <w:unhideWhenUsed/>
    <w:rsid w:val="002E02A1"/>
    <w:rPr>
      <w:color w:val="467886" w:themeColor="hyperlink"/>
      <w:u w:val="single"/>
    </w:rPr>
  </w:style>
  <w:style w:type="character" w:styleId="UnresolvedMention">
    <w:name w:val="Unresolved Mention"/>
    <w:basedOn w:val="DefaultParagraphFont"/>
    <w:uiPriority w:val="99"/>
    <w:semiHidden/>
    <w:unhideWhenUsed/>
    <w:rsid w:val="002E0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iff2026.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 Uyttendaele</dc:creator>
  <cp:keywords/>
  <dc:description/>
  <cp:lastModifiedBy>Mieke Uyttendaele</cp:lastModifiedBy>
  <cp:revision>1</cp:revision>
  <dcterms:created xsi:type="dcterms:W3CDTF">2026-05-14T13:28:00Z</dcterms:created>
  <dcterms:modified xsi:type="dcterms:W3CDTF">2026-05-14T14:01:00Z</dcterms:modified>
</cp:coreProperties>
</file>